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  <w:sz w:val="32"/>
          <w:szCs w:val="32"/>
        </w:rPr>
      </w:pPr>
      <w:bookmarkStart w:id="0" w:name="_GoBack"/>
      <w:bookmarkEnd w:id="0"/>
    </w:p>
    <w:p w:rsidR="00000000" w:rsidRDefault="00D9309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РЕШЕНИЕ</w:t>
      </w:r>
    </w:p>
    <w:p w:rsidR="00000000" w:rsidRDefault="00D9309B">
      <w:pPr>
        <w:jc w:val="center"/>
      </w:pPr>
      <w:r>
        <w:t>№247</w:t>
      </w:r>
    </w:p>
    <w:p w:rsidR="00000000" w:rsidRDefault="00D9309B">
      <w:pPr>
        <w:jc w:val="center"/>
      </w:pPr>
      <w:r>
        <w:t>31.03.2023 г. гр.Хасково</w:t>
      </w:r>
    </w:p>
    <w:p w:rsidR="00000000" w:rsidRDefault="00D9309B">
      <w:pPr>
        <w:jc w:val="center"/>
        <w:rPr>
          <w:sz w:val="32"/>
          <w:szCs w:val="32"/>
        </w:rPr>
      </w:pPr>
    </w:p>
    <w:p w:rsidR="00000000" w:rsidRDefault="00D9309B">
      <w:pPr>
        <w:jc w:val="center"/>
        <w:rPr>
          <w:b/>
        </w:rPr>
      </w:pPr>
      <w:r>
        <w:rPr>
          <w:b/>
        </w:rPr>
        <w:t>В ИМЕТО НА НАРОДА</w:t>
      </w:r>
    </w:p>
    <w:p w:rsidR="00000000" w:rsidRDefault="00D9309B">
      <w:pPr>
        <w:jc w:val="center"/>
        <w:rPr>
          <w:sz w:val="32"/>
          <w:szCs w:val="32"/>
        </w:rPr>
      </w:pPr>
    </w:p>
    <w:p w:rsidR="00000000" w:rsidRDefault="00D9309B">
      <w:pPr>
        <w:ind w:firstLine="708"/>
        <w:jc w:val="both"/>
      </w:pPr>
      <w:r>
        <w:t>АДМИНИСТРАТИВЕН СЪД – ХАСКОВО в открито съдебно заседание на  първи март две хиляди и двадесет и трета година  в състав:</w:t>
      </w:r>
    </w:p>
    <w:p w:rsidR="00000000" w:rsidRDefault="00D9309B">
      <w:pPr>
        <w:tabs>
          <w:tab w:val="left" w:pos="4860"/>
        </w:tabs>
        <w:jc w:val="both"/>
      </w:pPr>
      <w:r>
        <w:t xml:space="preserve">                                                     </w:t>
      </w:r>
      <w:r>
        <w:t xml:space="preserve">ПРЕДСЕДАТЕЛ: ВАСИЛКА ЖЕЛЕВА  </w:t>
      </w:r>
    </w:p>
    <w:p w:rsidR="00000000" w:rsidRDefault="00D9309B">
      <w:pPr>
        <w:tabs>
          <w:tab w:val="left" w:pos="4860"/>
        </w:tabs>
        <w:jc w:val="both"/>
        <w:rPr>
          <w:highlight w:val="yellow"/>
        </w:rPr>
      </w:pPr>
      <w:r>
        <w:t xml:space="preserve">                                                               ЧЛЕНОВЕ: ЦВЕТОМИРА ДИМИТРОВА</w:t>
      </w:r>
    </w:p>
    <w:p w:rsidR="00000000" w:rsidRDefault="00D9309B">
      <w:pPr>
        <w:tabs>
          <w:tab w:val="left" w:pos="4860"/>
        </w:tabs>
        <w:jc w:val="both"/>
      </w:pPr>
      <w:r>
        <w:t xml:space="preserve">                                                                                    ПАВЛИНА ГОСПОДИНОВА</w:t>
      </w:r>
    </w:p>
    <w:p w:rsidR="00000000" w:rsidRDefault="00D9309B">
      <w:pPr>
        <w:jc w:val="both"/>
      </w:pPr>
      <w:r>
        <w:t>при секретаря    Ивелина Въжар</w:t>
      </w:r>
      <w:r>
        <w:t>ска ......…...……….........................… в присъствието на</w:t>
      </w:r>
    </w:p>
    <w:p w:rsidR="00000000" w:rsidRDefault="00D9309B">
      <w:pPr>
        <w:jc w:val="both"/>
      </w:pPr>
      <w:r>
        <w:t>прокурор………….............……................……………………….....................като разгледа докладваното от  съдия Димитрова  административно дело № 1241 по описа на съда за 2022 година, за да се про</w:t>
      </w:r>
      <w:r>
        <w:t>изнесе, взе предвид следното:</w:t>
      </w:r>
    </w:p>
    <w:p w:rsidR="00000000" w:rsidRDefault="00D9309B">
      <w:pPr>
        <w:ind w:firstLine="708"/>
        <w:jc w:val="both"/>
      </w:pPr>
    </w:p>
    <w:p w:rsidR="00000000" w:rsidRDefault="00D9309B">
      <w:pPr>
        <w:ind w:firstLine="708"/>
        <w:jc w:val="both"/>
      </w:pPr>
      <w:r>
        <w:t>Производството е по реда на чл.179 и сл. от АПК.</w:t>
      </w:r>
    </w:p>
    <w:p w:rsidR="00000000" w:rsidRDefault="00D9309B">
      <w:pPr>
        <w:pStyle w:val="ae"/>
        <w:ind w:firstLine="709"/>
        <w:jc w:val="both"/>
      </w:pPr>
      <w:r>
        <w:t>Образувано е по жалба на М.Т.Ц., действащ лично и в качеството си на пълномощник на „Г.“ ЕООД с ЕИК*********, гр. София, против Решение №790 от 16.12.2022г. на Общински съвет –</w:t>
      </w:r>
      <w:r>
        <w:t xml:space="preserve"> Хасково, прието по Протокол №35 от заседание на Общински съвет Хасково от 16.12.2022г.</w:t>
      </w:r>
    </w:p>
    <w:p w:rsidR="00000000" w:rsidRDefault="00D9309B">
      <w:pPr>
        <w:ind w:firstLine="709"/>
        <w:jc w:val="both"/>
      </w:pPr>
      <w:r>
        <w:t>В жалбата се твърди, че така приетото решение по съществото си представлява общ административен акт във всичките си части, тъй като отговаря на всички изисквания на чл.</w:t>
      </w:r>
      <w:r>
        <w:t>65 от АПК за определянето му именно като такъв, съответно по отношение на него се прилагат общите правила по Раздел втори на Глава Пета от АПК – чл.66 и сл. Сочи се, че в конкретния случай на страницата на Община Хасково е публикувана единствено докладна з</w:t>
      </w:r>
      <w:r>
        <w:t>аписка на 08.12.2022г., с която се предлага на Общински съвет да вземе  решение в приетия и цитиран в жалбата смисъл. Навеждат се доводи, че предвидената в АПК процедура изобщо не е спазена и по преценка на оспорващите са налице съществени нарушения при из</w:t>
      </w:r>
      <w:r>
        <w:t>даването на общия административен акт, които не могат да бъдат санирани по какъвто и да е начин, и това води до неговата нищожност. Сочи се, че допуснатото нарушение на разпоредбите на чл.66-71 от АПК константно се възприема в съдебната практика като същес</w:t>
      </w:r>
      <w:r>
        <w:t>твено нарушение на административнопроизводствените правила, обуславящо отмяна на оспорения акт. Предвид изложеното се моли да бъде прогласена нищожността на оспореното решение. Наред с горното, в случай, че не се възприемат оплакванията за нищожност, се на</w:t>
      </w:r>
      <w:r>
        <w:t>веждат твърдения за незаконосъобразност на оспореното решение, като се сочи, че същото страда и от съществени пороци – нарушения и на процесуалните и материалните закони. В тази връзка се твърди, че позоваването и съответно прилагането на Решения на ОбС Ха</w:t>
      </w:r>
      <w:r>
        <w:t>сково от 2004г., 2006г. и 2008г. е незаконосъобразно, тъй като това са стари решения, които са взети при тогава действащите редакции на ЗМДТ и които в никакъв случай не са актуални. Само за пример се сочи, че тогава с тях ТБО  е определена в глобален разме</w:t>
      </w:r>
      <w:r>
        <w:t>р – общо в промили, докато ЗМДТ вече изисква ТБО да се определя поотделно за всеки вид услуга, а именно: за събиране и транспортиране на битови отпадъци; за третиране на битови отпадъци, поддържане и експлоатация на депа за битови отпадъци, както и за отчи</w:t>
      </w:r>
      <w:r>
        <w:t>сления по чл.60 и чл.64 от ЗУО; за поддържане чистотата на териториите за обществено ползване. На следващо място се твърди, че посочените правни основания за приемане на решението, а именно чл.67 от ЗМДТ и чл.17 ал.2 от  Наредбата за определянето и админис</w:t>
      </w:r>
      <w:r>
        <w:t>трирането на местните такси и цени на услуги на територията на Община Хасково, са изцяло несъотносими. Сочи се, че при обикновен преглед на действащите разпоредби на чл.67 ЗМДТ и чл.17, ал.2 от цитираната Наредба, е видно, че решението е в пряко противореч</w:t>
      </w:r>
      <w:r>
        <w:t>ие с тях. На следващо място, като основание за приемането му са посочени и чл.128 във вр. с чл.129 ал.1 от ДОПК, които касаят очевидно т.2 и т.4 от решението. Коментират се разпоредбите на чл.4 ал.1 от ЗМДТ, чл.128 ал.1 и чл.129 ал.6 ДОПК и се сочи, че в т</w:t>
      </w:r>
      <w:r>
        <w:t>ази връзка се налагат изводи, че Общинският съвет не притежава предоставени от закона правомощия да взема решения за служебно прихващане на недължимо платени задължения, с вземания за публични задължения за бъдещи периоди, съответно, че в тази част решение</w:t>
      </w:r>
      <w:r>
        <w:t xml:space="preserve">то се явява нищожно като взето от некомпетентен орган. В другата част, нормата на чл.129 ал.6 ДОПК била  императивна и лишаването на лица, платили недължимо общинско вземане от дължимата им лихва за периода от внасянето до възстановяването </w:t>
      </w:r>
      <w:r>
        <w:t>ѝ</w:t>
      </w:r>
      <w:r>
        <w:t xml:space="preserve"> правело решени</w:t>
      </w:r>
      <w:r>
        <w:t>ето и незаконосъобразно. На следващо място се твърди, че в оспореното решение ОбС е приел единствено за основа на определянето на дължимите промили за ТБО данъчната оценка на имотите, което било пряко нарушение на чл.66 ЗМДТ в действащата му редакция. На с</w:t>
      </w:r>
      <w:r>
        <w:t>ледващо място се сочи, че позоваването на посочените решения на ОбС Хасково от 2004г. – 2008г. не държи сметка за дължимите отчисления по ЗУО, обн. ДВ бр.53 от 13 юли 2012г. и в сила от 13.07.2012г. и няма как да бъдат приложими, което също прави оспоренот</w:t>
      </w:r>
      <w:r>
        <w:t>о решение незаконосъобразно. На следващо място се твърди, че решението не съответства на изискванията на чл.59, ал.2, т.4 от АПК, като липсва мотивационна част и липсват каквито и да е мотиви за приемането му в този вид, вместо по начина по чл.66 ал.3 от З</w:t>
      </w:r>
      <w:r>
        <w:t>МДТ в действащата тогава редакция. Нещо повече, липсват каквито и да е мотиви, както в самата докладна записка, така и в решението какъв ще е икономическият ефект от възприетото решение. На последно място се сочи, че определянето на единен общ промил на та</w:t>
      </w:r>
      <w:r>
        <w:t>ксата за всички населени места противоречи на изискването таксата да се определя за всяко населено място поотделно в зависимост от действителните разходи за услугата. По подробно изложените в жалбата съображения се моли оспореното решение да бъде обявено з</w:t>
      </w:r>
      <w:r>
        <w:t xml:space="preserve">а нищожно в оспорените части, а в случай, че не се възприеме това, да се обяви за незаконосъобразно. Претендира се присъждане на направените разноски. </w:t>
      </w:r>
    </w:p>
    <w:p w:rsidR="00000000" w:rsidRDefault="00D9309B">
      <w:pPr>
        <w:ind w:firstLine="709"/>
        <w:jc w:val="both"/>
      </w:pPr>
      <w:r>
        <w:t>Ответникът – Общински съвет – Хасково, чрез пълномощник в съдебно заседание навежда доводи за недопустим</w:t>
      </w:r>
      <w:r>
        <w:t>ост, алтернативно за неоснователност на жалбата. Моли се за присъждане на направените разноски съгласно представен списък. Прави се възражение за прекомерност на адвокатския хонорар, заплатен от жалбоподателите.</w:t>
      </w:r>
    </w:p>
    <w:p w:rsidR="00000000" w:rsidRDefault="00D9309B">
      <w:pPr>
        <w:ind w:firstLine="709"/>
        <w:jc w:val="both"/>
      </w:pPr>
      <w:r>
        <w:t>Съдът, след съвкупна преценка на събраните п</w:t>
      </w:r>
      <w:r>
        <w:t>о делото доказателства и доводите на страните, приема за установено от фактическа страна следното:</w:t>
      </w:r>
    </w:p>
    <w:p w:rsidR="00000000" w:rsidRDefault="00D9309B">
      <w:pPr>
        <w:pStyle w:val="ae"/>
        <w:ind w:firstLine="709"/>
        <w:jc w:val="both"/>
        <w:rPr>
          <w:rFonts w:eastAsia="Calibri"/>
          <w:lang w:eastAsia="en-US"/>
        </w:rPr>
      </w:pPr>
      <w:r>
        <w:t xml:space="preserve">С Докладна записка (л.25-27) относно прихващане на такса битови отпадъци </w:t>
      </w:r>
      <w:r>
        <w:rPr>
          <w:lang w:val="en-US"/>
        </w:rPr>
        <w:t>(</w:t>
      </w:r>
      <w:r>
        <w:t>ТБО</w:t>
      </w:r>
      <w:r>
        <w:rPr>
          <w:lang w:val="en-US"/>
        </w:rPr>
        <w:t>)</w:t>
      </w:r>
      <w:r>
        <w:t xml:space="preserve"> за 2021г., </w:t>
      </w:r>
      <w:r>
        <w:rPr>
          <w:rFonts w:eastAsia="Calibri"/>
          <w:lang w:eastAsia="en-US"/>
        </w:rPr>
        <w:t xml:space="preserve">Кметът на Община Хасково предложил на Общински съвет - Хасково  да </w:t>
      </w:r>
      <w:r>
        <w:rPr>
          <w:rFonts w:eastAsia="Calibri"/>
          <w:lang w:eastAsia="en-US"/>
        </w:rPr>
        <w:t>приеме решение, съобразно представен проект,  с което да приложи размера на такса битови отпадъци за 2021г. за населението на гр. Хасково; за населението в селата в Община Хасково и за всички нежилищни имоти на предприятията, така както е определен в предх</w:t>
      </w:r>
      <w:r>
        <w:rPr>
          <w:rFonts w:eastAsia="Calibri"/>
          <w:lang w:eastAsia="en-US"/>
        </w:rPr>
        <w:t>одни Решения на Общински съвет – Хасково, начина на преизчисляването й, възможността да се ползва отстъпка върху преизчисления размер и след преизчисляването да се осъществи служебно прихващане или възстановяване по реда на ДОПК, а в случаите, когато по об</w:t>
      </w:r>
      <w:r>
        <w:rPr>
          <w:rFonts w:eastAsia="Calibri"/>
          <w:lang w:eastAsia="en-US"/>
        </w:rPr>
        <w:t xml:space="preserve">ективни причини не може да се извърши служебно, след депозиране на искане. </w:t>
      </w:r>
    </w:p>
    <w:p w:rsidR="00000000" w:rsidRDefault="00D9309B">
      <w:pPr>
        <w:pStyle w:val="ae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докладната записка са изложени мотиви, че Решение №241/18.12.2020г. на ОбС – Хасково, с което е бил определен размерът на ТБО за 2021г. е отменено с Решение №634/16.12.2021г. на </w:t>
      </w:r>
      <w:r>
        <w:rPr>
          <w:rFonts w:eastAsia="Calibri"/>
          <w:lang w:eastAsia="en-US"/>
        </w:rPr>
        <w:t xml:space="preserve">Административен съд – Хасково, потвърдено с Решение №8642/06.10.2022г. на Върховен административен съд, в частта на т. II, подт.1, в частта </w:t>
      </w:r>
      <w:r>
        <w:rPr>
          <w:rFonts w:eastAsia="Calibri"/>
          <w:lang w:eastAsia="en-US"/>
        </w:rPr>
        <w:t>ѝ</w:t>
      </w:r>
      <w:r>
        <w:rPr>
          <w:rFonts w:eastAsia="Calibri"/>
          <w:lang w:eastAsia="en-US"/>
        </w:rPr>
        <w:t>, с която е определен размера на таксата за битови отпадъци за 2021г. за населението на гр. Хасково; подт.4 и подт.</w:t>
      </w:r>
      <w:r>
        <w:rPr>
          <w:rFonts w:eastAsia="Calibri"/>
          <w:lang w:eastAsia="en-US"/>
        </w:rPr>
        <w:t>5, касаещо размера на ТБО за населението на гр. Хасково; за населението в селата в Община Хасково и за всички нежилищни имоти на предприятията. Посочено е, че доколкото решението на общинския съвет представлява общ административен акт, то неговата частична</w:t>
      </w:r>
      <w:r>
        <w:rPr>
          <w:rFonts w:eastAsia="Calibri"/>
          <w:lang w:eastAsia="en-US"/>
        </w:rPr>
        <w:t xml:space="preserve"> отмяна има действие по отношение на всички лица, за които се прилага и то със задна дата. Посочено е също, че съгласно чл.180 от АПК оспорването на решението не спира неговото изпълнение, поради което до отмяната му от съда, то се прилага. Отразено е, че </w:t>
      </w:r>
      <w:r>
        <w:rPr>
          <w:rFonts w:eastAsia="Calibri"/>
          <w:lang w:eastAsia="en-US"/>
        </w:rPr>
        <w:t xml:space="preserve">с Решение №241/18.12.2020г. на ОбС – Хасково е бил определен по-висок размер на ТБО от дотогава действащия, съгласно Решение №240/19.12.2008г. и Решение №193/29.10.2004г., всичките на Общински съвет – Хасково, като след частичната му отмяна следва да бъде </w:t>
      </w:r>
      <w:r>
        <w:rPr>
          <w:rFonts w:eastAsia="Calibri"/>
          <w:lang w:eastAsia="en-US"/>
        </w:rPr>
        <w:t xml:space="preserve">възстановена разликата между определения с него размер на ТБО и размерът на ТБО, който се определя съгласно дотогава действалите правила. В докладната записка Кметът на Община Хасково е посочил, че доколкото следва да бъдат възстановени суми на голям брой </w:t>
      </w:r>
      <w:r>
        <w:rPr>
          <w:rFonts w:eastAsia="Calibri"/>
          <w:lang w:eastAsia="en-US"/>
        </w:rPr>
        <w:t>субекти, то предлага това да стане по служебен път, чрез прихващане на задълженията за 2023г. Където това не е възможно да се случи, то следва да стане въз основа на подадено искане за възстановяване.</w:t>
      </w:r>
    </w:p>
    <w:p w:rsidR="00000000" w:rsidRDefault="00D9309B">
      <w:pPr>
        <w:ind w:firstLine="709"/>
        <w:jc w:val="both"/>
      </w:pPr>
      <w:r>
        <w:t xml:space="preserve">Докладната </w:t>
      </w:r>
      <w:r>
        <w:t>записка е публикувана на 08.12.2022г. на интернет страницата на Община Хасково (л.28-29).</w:t>
      </w:r>
    </w:p>
    <w:p w:rsidR="00000000" w:rsidRDefault="00D9309B">
      <w:pPr>
        <w:ind w:firstLine="709"/>
        <w:jc w:val="both"/>
      </w:pPr>
      <w:r>
        <w:t>Видно от Препис-извлечение от Протокол от 13.12.2022г. (л.34-35) и от протокол от 14.12.2022г. (л.36-37), цитираната по-горе докладна записка на Кмета на Община Хаско</w:t>
      </w:r>
      <w:r>
        <w:t xml:space="preserve">во е разгледана на 13.12.2022г. и на 14.12.2022г. съответно от Постоянната комисия по бюджет и финанси при Общински съвет – Хасково и от Постоянната комисия по обществен ред и законност. От посочените постоянни комисии са взети решения, с които се допуска </w:t>
      </w:r>
      <w:r>
        <w:t>за разглеждане докладната записка и се подкрепя проекта за решение, като в протоколите са отразени направените обсъждания и гласуването, с посочване на броя гласували общински съветници „за“, „против“ и „въздържали се“.</w:t>
      </w:r>
    </w:p>
    <w:p w:rsidR="00000000" w:rsidRDefault="00D9309B">
      <w:pPr>
        <w:ind w:firstLine="709"/>
        <w:jc w:val="both"/>
      </w:pPr>
      <w:r>
        <w:t>На 16.12.2022г. е проведено заседани</w:t>
      </w:r>
      <w:r>
        <w:t>е на Общински съвет – Хасково, при дневен ред, включващ и разглеждане на Докладна записка от Кмета на Община Хасково относно: прихващане на такса битови отпадъци /ТБО/ за 2021г., за което е съставен Протокол №35 от същата дата. На заседанието е прието и Ре</w:t>
      </w:r>
      <w:r>
        <w:t xml:space="preserve">шение №790 от 16.12.2022г. (л.32-33), с което,  </w:t>
      </w:r>
      <w:r>
        <w:rPr>
          <w:rFonts w:eastAsia="Calibri"/>
          <w:lang w:eastAsia="en-US"/>
        </w:rPr>
        <w:t>на основание чл.21 ал.1 т.23 от ЗМСМА, чл.67 от ЗМДТ и чл.128 във вр. с чл.129 ал.1 ДОПК, чл.17 ал.2 от Наредбата за определянето и администрирането на местните такси и цени на услуги на територията на Община</w:t>
      </w:r>
      <w:r>
        <w:rPr>
          <w:rFonts w:eastAsia="Calibri"/>
          <w:lang w:eastAsia="en-US"/>
        </w:rPr>
        <w:t xml:space="preserve"> Хасково, Общински съвет – Хасково е решил следното: 1. За 2021г. за населението на гр. Хасково; за населението в селата в Община Хасково и за всички нежилищни имоти на предприятията, се прилага размерът на такса битови отпадъци, така, както е определен в </w:t>
      </w:r>
      <w:r>
        <w:rPr>
          <w:rFonts w:eastAsia="Calibri"/>
          <w:lang w:eastAsia="en-US"/>
        </w:rPr>
        <w:t>Решения на Общински съвет – Хасково, както следва: 1.1. За населението на гр. Хасково – в размер на 3.0 промила съгласно Решение №240/19.12.2008г. на Общински съвет – Хасково.; 1.2. За населението в селата в Община Хасково – в размер на 4.5 промила, съглас</w:t>
      </w:r>
      <w:r>
        <w:rPr>
          <w:rFonts w:eastAsia="Calibri"/>
          <w:lang w:eastAsia="en-US"/>
        </w:rPr>
        <w:t>но Решение №193/29.10.2004г. на Общински съвет – Хасково.; 1.3. За всички  нежилищни имоти на предприятията , когато не е подадена декларация за определяне на количеството на брой съдове – 12 промила върху данъчната оценка, съгласно Решение №193/29.10.2004</w:t>
      </w:r>
      <w:r>
        <w:rPr>
          <w:rFonts w:eastAsia="Calibri"/>
          <w:lang w:eastAsia="en-US"/>
        </w:rPr>
        <w:t>г. на Общински съвет – Хасково. 2. Таксата битови отпадъци за 2021г., касаеща категорията субекти, посочени в т.1 от настоящото решение, се преизчислява служебно и се съобщава на задължените лица.; 3. Лицата, които са предплатили целия размер на такса бито</w:t>
      </w:r>
      <w:r>
        <w:rPr>
          <w:rFonts w:eastAsia="Calibri"/>
          <w:lang w:eastAsia="en-US"/>
        </w:rPr>
        <w:t>ви отпадъци в срок до 30.04.2021г., ползват отстъпка от 5 % върху преизчисления размер.; 4. След преизчисляване на дължимия размер на такса битови отпадъци за 2021г., надвнесените суми подлежат на служебно прихващане или възстановяване по реда на ДОПК, а в</w:t>
      </w:r>
      <w:r>
        <w:rPr>
          <w:rFonts w:eastAsia="Calibri"/>
          <w:lang w:eastAsia="en-US"/>
        </w:rPr>
        <w:t xml:space="preserve"> случаите, когато по обективни причини не може да се извърши служебно, след депозиране на искане.</w:t>
      </w:r>
    </w:p>
    <w:p w:rsidR="00000000" w:rsidRDefault="00D9309B">
      <w:pPr>
        <w:ind w:firstLine="709"/>
        <w:jc w:val="both"/>
      </w:pPr>
      <w:r>
        <w:t xml:space="preserve">Решението е прието с 37 гласа „за“, без „против“ и „въздържали се“ от участвалите в гласуването 37 общински съветници (при общ брой на общинските съветници в </w:t>
      </w:r>
      <w:r>
        <w:t>Общински съвет – Хасково от 41 съветници).</w:t>
      </w:r>
    </w:p>
    <w:p w:rsidR="00000000" w:rsidRDefault="00D9309B">
      <w:pPr>
        <w:ind w:firstLine="709"/>
        <w:jc w:val="both"/>
      </w:pPr>
      <w:r>
        <w:t>Решението е публикувано на сайта на Община Хасково на 16.12.2022г.</w:t>
      </w:r>
      <w:r>
        <w:rPr>
          <w:lang w:val="en-US"/>
        </w:rPr>
        <w:t>(</w:t>
      </w:r>
      <w:r>
        <w:t>л.6</w:t>
      </w:r>
      <w:r>
        <w:rPr>
          <w:lang w:val="en-US"/>
        </w:rPr>
        <w:t>)</w:t>
      </w:r>
      <w:r>
        <w:t xml:space="preserve">  </w:t>
      </w:r>
    </w:p>
    <w:p w:rsidR="00000000" w:rsidRDefault="00D9309B">
      <w:pPr>
        <w:ind w:firstLine="709"/>
        <w:jc w:val="both"/>
      </w:pPr>
      <w:r>
        <w:t>По делото като писмени  доказателства са приети документите, съдържащи се в административната преписка и  документи, представени от жалбопо</w:t>
      </w:r>
      <w:r>
        <w:t xml:space="preserve">дателите. </w:t>
      </w:r>
    </w:p>
    <w:p w:rsidR="00000000" w:rsidRDefault="00D9309B">
      <w:pPr>
        <w:ind w:firstLine="709"/>
        <w:jc w:val="both"/>
      </w:pPr>
      <w:r>
        <w:t>При така изложената фактическа обстановка, съдът приема следното от правна страна:</w:t>
      </w:r>
    </w:p>
    <w:p w:rsidR="00000000" w:rsidRDefault="00D9309B">
      <w:pPr>
        <w:ind w:firstLine="709"/>
        <w:jc w:val="both"/>
      </w:pPr>
      <w:r>
        <w:t xml:space="preserve">По допустимостта на жалбата: </w:t>
      </w:r>
    </w:p>
    <w:p w:rsidR="00000000" w:rsidRDefault="00D9309B">
      <w:pPr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   </w:t>
      </w:r>
      <w:r>
        <w:rPr>
          <w:rFonts w:eastAsia="Calibri"/>
          <w:lang w:eastAsia="en-US"/>
        </w:rPr>
        <w:t>Предмет на оспорване е</w:t>
      </w:r>
      <w:r>
        <w:rPr>
          <w:rFonts w:eastAsia="Calibri"/>
          <w:color w:val="FF0000"/>
          <w:lang w:eastAsia="en-US"/>
        </w:rPr>
        <w:t xml:space="preserve"> </w:t>
      </w:r>
      <w:r>
        <w:t>Решение №790 от 16.12.2022г. на Общински съвет – Хасково, прието по Протокол №35 от заседание на О</w:t>
      </w:r>
      <w:r>
        <w:t xml:space="preserve">бщински съвет Хасково от 16.12.2022г </w:t>
      </w:r>
      <w:r>
        <w:rPr>
          <w:rFonts w:eastAsia="Calibri"/>
        </w:rPr>
        <w:t>.</w:t>
      </w:r>
    </w:p>
    <w:p w:rsidR="00000000" w:rsidRDefault="00D9309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Настоящия съдебен състав не споделя доводите на ответника, че оспореният акт не представлява общ административен акт, както и че със същия в нито една негова част не се създават права или задължения за осп</w:t>
      </w:r>
      <w:r>
        <w:rPr>
          <w:rFonts w:eastAsia="Calibri"/>
          <w:lang w:eastAsia="en-US"/>
        </w:rPr>
        <w:t>орващите, нито се засягат техни права или законни интереси, като в т.1 от същото се възпроизвежда последицата от отмененото решение на ОбС-Хасково за определяне на ТБО, т.2 и т.3 е с адресат местния орган по приходите, а т.3 само възпроизвежда текста на чл</w:t>
      </w:r>
      <w:r>
        <w:rPr>
          <w:rFonts w:eastAsia="Calibri"/>
          <w:lang w:eastAsia="en-US"/>
        </w:rPr>
        <w:t xml:space="preserve">.17, ал.2 от НОАМТЦУ на Община Хасково. </w:t>
      </w:r>
    </w:p>
    <w:p w:rsidR="00000000" w:rsidRDefault="00D9309B">
      <w:pPr>
        <w:pStyle w:val="ae"/>
        <w:jc w:val="both"/>
        <w:rPr>
          <w:rFonts w:eastAsia="Calibri"/>
        </w:rPr>
      </w:pPr>
      <w:r>
        <w:rPr>
          <w:rFonts w:eastAsia="Calibri"/>
        </w:rPr>
        <w:t xml:space="preserve">            От съдържанието на решението е видно, че по същество с т.1 от същото ОбС-Хасково е  установил с точност какъв следва да е размера на таксата за битови отпадъци за 2021г., като е посочил същия в промили и</w:t>
      </w:r>
      <w:r>
        <w:rPr>
          <w:rFonts w:eastAsia="Calibri"/>
        </w:rPr>
        <w:t xml:space="preserve"> го е конкретизирал съобразно адресата на решението и вида на имота, а именно: 3 промила за населението на гр.Хасково, 4.5 промила за населението на селата в Община Хасково и 12 промила за всички нежилищни имоти на предприятията, както и с т.2., т.3 и т.4 </w:t>
      </w:r>
      <w:r>
        <w:rPr>
          <w:rFonts w:eastAsia="Calibri"/>
        </w:rPr>
        <w:t>от същото е указан реда за събирането на така конкретизирания размер на ТБО, с оглед предходно приетото решение на ответника за определяне размера на ТБО за 2021г., което е било отменено от съда. След като с решението е дефинирана конкретната стойност на д</w:t>
      </w:r>
      <w:r>
        <w:rPr>
          <w:rFonts w:eastAsia="Calibri"/>
        </w:rPr>
        <w:t>ължимата ТБО за 2021г., то настоящия съдебен състав достига до извода, че ответникът действително е определил размер на дължимата такса битови отпадъци за процесната година, съобразявайки и значението на думата „Определям“ според българския тълковен речник</w:t>
      </w:r>
      <w:r>
        <w:rPr>
          <w:rFonts w:eastAsia="Calibri"/>
        </w:rPr>
        <w:t>.</w:t>
      </w:r>
    </w:p>
    <w:p w:rsidR="00000000" w:rsidRDefault="00D9309B">
      <w:pPr>
        <w:pStyle w:val="ae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Обстоятелството, че след като е установен този размер, в решението е препратено и към други два акта на ОбС-Хасково, и че вместо думата „определям“ е използван термина“прилагам“,  не води до различен правен извод. </w:t>
      </w:r>
      <w:r>
        <w:t xml:space="preserve">Уреждане на правни последици от отменен </w:t>
      </w:r>
      <w:r>
        <w:t xml:space="preserve">акт от издалия го орган законодателят е предвидил само по отношение подзаконовите нормативни актове - чл.195, ал.2 от АПК, какъвто настоящия не представлява, а не и по отношение индивидуалните и общите такива. Думата“прилагам“ според „Българският тълковен </w:t>
      </w:r>
      <w:r>
        <w:t xml:space="preserve">речник“ има две значения. Едното е „поставям, подавам с друго нещо, прилагам“, а другото означава „служа си, употребявам и прилагам сила“. Видно е в контекста на делото, че в съдържанието на решението  думата тук е използвана във второто си значение, т.е. </w:t>
      </w:r>
      <w:r>
        <w:t>органът е приел, че за целите на ЗМДТ, с оглед дължимостта и събиране на ТБО за 2021г. ще си служи с конкретен размер на таксата за посочената година.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</w:rPr>
        <w:t xml:space="preserve">След като с решението е определен размер на ТБО за 2021г., независимо, че той е и посочения в: решение № </w:t>
      </w:r>
      <w:r>
        <w:rPr>
          <w:rFonts w:eastAsia="Calibri"/>
        </w:rPr>
        <w:t>240/18.12.2008г. на ОБС-Хасково, касаещо за населението на гр.Хасково и в решение № 193 от 29.10.2004г. на ОбС-Хасково за  населението на селата в Община Хасково и нежилищните имоти на предприятията, то няма как да се приеме, че административният акт в час</w:t>
      </w:r>
      <w:r>
        <w:rPr>
          <w:rFonts w:eastAsia="Calibri"/>
        </w:rPr>
        <w:t xml:space="preserve">тта му по т.1, не засяга правата и интересите на оспорващите. Предвидената с нормата на чл.66, ал.3 от ЗМДТ в редакцията от ДВ бр. </w:t>
      </w:r>
      <w:r>
        <w:rPr>
          <w:color w:val="000000"/>
        </w:rPr>
        <w:t xml:space="preserve">53 от 2012 г., в сила от 13.07.2012 г </w:t>
      </w:r>
      <w:r>
        <w:rPr>
          <w:color w:val="000000"/>
          <w:lang w:val="en-US"/>
        </w:rPr>
        <w:t>)</w:t>
      </w:r>
      <w:r>
        <w:rPr>
          <w:color w:val="000000"/>
        </w:rPr>
        <w:t xml:space="preserve">възможност, в случай че </w:t>
      </w:r>
      <w:r>
        <w:t>общинският съвет не е определил размер на таксата за битови от</w:t>
      </w:r>
      <w:r>
        <w:t xml:space="preserve">падъци за текущата година, таксата да се събира на база действащия размер към 31 декември на предходната година, е съществувала до измененията на ЗМДТ с </w:t>
      </w:r>
      <w:r>
        <w:rPr>
          <w:color w:val="000000"/>
        </w:rPr>
        <w:t>ДВ, бр. 88 от 03.11.2017г.,</w:t>
      </w:r>
      <w:r>
        <w:t xml:space="preserve"> изм. относно влизането в сила в ДВ бр. 98/2018г.</w:t>
      </w:r>
      <w:r>
        <w:rPr>
          <w:color w:val="000000"/>
        </w:rPr>
        <w:t xml:space="preserve"> След тази дата и по силата</w:t>
      </w:r>
      <w:r>
        <w:rPr>
          <w:color w:val="000000"/>
        </w:rPr>
        <w:t xml:space="preserve"> на</w:t>
      </w:r>
      <w:bookmarkStart w:id="1" w:name="to_paragraph_id44213371"/>
      <w:bookmarkEnd w:id="1"/>
      <w:r>
        <w:t>§ 21 от ПЗР на ЗИДЗМДТ, разпоредбата на чл.66, ал.3, т.1 от ЗМДТ е придобила нова редакция, влязла в сила от датата на публикуване на цитираната норма в ДВ. Новата редакция на чл.66, ал.3 е с различно от предходната съдържание, като съдържа  други прави</w:t>
      </w:r>
      <w:r>
        <w:t>ла и е структурирана по несходен и неидентичен начин. Съответно, макар изменението на чл.66 от ЗМДТ в останалата му част и понастоящем да е отложено,  то с влизането в сила на новата редакция на чл.66, ал.3, т.1 от ЗМДТ и при липса на норма със сходно съдъ</w:t>
      </w:r>
      <w:r>
        <w:t>ржание на чл.66, ал.3 от ЗМДТ в старата й редакция, то последната следва да се счита изменена и не може да намери приложение. Т.е. след посочените законодателни изменения, ОбС е длъжен да приеме решение за определяне размера на ТБО за всяка календарна годи</w:t>
      </w:r>
      <w:r>
        <w:t xml:space="preserve">на. Принципът за годишен характер на определяне на задълженията за местни такси е въведен с общата разпоредба на </w:t>
      </w:r>
      <w:hyperlink r:id="rId7" w:history="1">
        <w:r>
          <w:rPr>
            <w:rStyle w:val="a3"/>
          </w:rPr>
          <w:t>чл. 8, ал. 5 ЗМДТ</w:t>
        </w:r>
      </w:hyperlink>
      <w:r>
        <w:t>, с която е делегирана компетентност на общинските съвет</w:t>
      </w:r>
      <w:r>
        <w:t xml:space="preserve">и да определят с </w:t>
      </w:r>
      <w:hyperlink r:id="rId8" w:history="1">
        <w:r>
          <w:rPr>
            <w:rStyle w:val="a3"/>
          </w:rPr>
          <w:t>наредбата по чл. 9</w:t>
        </w:r>
      </w:hyperlink>
      <w:r>
        <w:t xml:space="preserve"> ред, по който лицата, неползващи услугата през съответната година или през определен период от нея, се освобождават от заплащане на съответната такса. В </w:t>
      </w:r>
      <w:r>
        <w:t xml:space="preserve">уредбата на ТБО годишният отчетен период е установен в </w:t>
      </w:r>
      <w:hyperlink r:id="rId9" w:history="1">
        <w:r>
          <w:rPr>
            <w:rStyle w:val="a3"/>
            <w:shd w:val="clear" w:color="auto" w:fill="FFFFFF"/>
          </w:rPr>
          <w:t>чл. 66, ал. 1 ЗМДТ</w:t>
        </w:r>
      </w:hyperlink>
      <w:r>
        <w:t xml:space="preserve"> </w:t>
      </w:r>
      <w:r>
        <w:rPr>
          <w:lang w:val="en-US"/>
        </w:rPr>
        <w:t>(</w:t>
      </w:r>
      <w:r>
        <w:t xml:space="preserve">в ред. до ДВ бр. 88/2017 г., изм. относно влизането в сила в ДВ бр. 98/2018 г. </w:t>
      </w:r>
      <w:r>
        <w:rPr>
          <w:lang w:val="en-US"/>
        </w:rPr>
        <w:t xml:space="preserve">) </w:t>
      </w:r>
      <w:r>
        <w:t>- в този смисъл</w:t>
      </w:r>
      <w:r>
        <w:rPr>
          <w:rFonts w:ascii="Verdana" w:hAnsi="Verdana"/>
        </w:rPr>
        <w:t xml:space="preserve"> </w:t>
      </w:r>
      <w:r>
        <w:t>решение Решен</w:t>
      </w:r>
      <w:r>
        <w:t>ие № 8028 от 23.06.2020 г. на ВАС по адм. д. № 514/2020 г., I о.</w:t>
      </w:r>
      <w:r>
        <w:rPr>
          <w:rFonts w:ascii="Verdana" w:hAnsi="Verdana"/>
        </w:rPr>
        <w:t xml:space="preserve"> </w:t>
      </w:r>
      <w:r>
        <w:t>Ако е считал, че нормата на чл. 66 ал.3 от ЗМДТ в старата й редакция е била приложима, общинският съвет не е дължал издаване на ново решение, с което да определя, респ. посочва или респ.прила</w:t>
      </w:r>
      <w:r>
        <w:t>га размери на ТБО . Това е така, тъй като тази норма в старата й редакция на практика замества липсващото  волеизявление на органа. Междувпрочем, дори тази теза да не се възприеме, то е налице и друго основание цитираната разпоредба да не намира приложение</w:t>
      </w:r>
      <w:r>
        <w:t xml:space="preserve"> в случая. Видно от съдържанието й, тя урежда само хипотезите, когато до края на предходната година общинският съвет е бездействал и не е определил размер на таксата за битови отпадъци за текущата година. Случаят не е такъв, тъй като размер на ТБО за 2021г</w:t>
      </w:r>
      <w:r>
        <w:t>. е бил определен с Решение № 241/18.12.2020г. на ОбС-Хасково.Обстоятелството, че впоследствие същото е отменено  с влязло в сила Решение на АдмС-Хасково, което не е спорно по делото и е видно от докладната записка на кмета на община Хасково, не променя то</w:t>
      </w:r>
      <w:r>
        <w:t xml:space="preserve">зи факт. Трайно се възприема в практиката на Върховен административен съд, че </w:t>
      </w:r>
      <w:r>
        <w:rPr>
          <w:lang w:val="x-none"/>
        </w:rPr>
        <w:t>решението на общинския съвет, с което на основание чл. 6</w:t>
      </w:r>
      <w:r>
        <w:t>7</w:t>
      </w:r>
      <w:r>
        <w:rPr>
          <w:lang w:val="x-none"/>
        </w:rPr>
        <w:t xml:space="preserve"> от ЗМДТ</w:t>
      </w:r>
      <w:r>
        <w:rPr>
          <w:lang w:val="en-US"/>
        </w:rPr>
        <w:t>(</w:t>
      </w:r>
      <w:r>
        <w:t>която норма е цитирана и като правно основание за приемане на процесното решение</w:t>
      </w:r>
      <w:r>
        <w:rPr>
          <w:lang w:val="en-US"/>
        </w:rPr>
        <w:t>)</w:t>
      </w:r>
      <w:r>
        <w:rPr>
          <w:lang w:val="x-none"/>
        </w:rPr>
        <w:t xml:space="preserve"> </w:t>
      </w:r>
      <w:r>
        <w:rPr>
          <w:lang w:val="x-none"/>
        </w:rPr>
        <w:t>се определя годишният размер на такса битови отпадъци</w:t>
      </w:r>
      <w:r>
        <w:t xml:space="preserve"> по чл.66 от ЗМДТ, </w:t>
      </w:r>
      <w:r>
        <w:rPr>
          <w:lang w:val="x-none"/>
        </w:rPr>
        <w:t>представлява общ административен акт, доколкото това решение регламентира обществени отношения и засяга права, свободи или законни интереси на неопределен, но определяем брой лица, изп</w:t>
      </w:r>
      <w:r>
        <w:rPr>
          <w:lang w:val="x-none"/>
        </w:rPr>
        <w:t xml:space="preserve">ълнява се за съответната календарна година и има еднократно действие, а не се прилага безсрочно във времето, поради което отговаря на </w:t>
      </w:r>
      <w:r>
        <w:t xml:space="preserve"> хипотезата на </w:t>
      </w:r>
      <w:r>
        <w:rPr>
          <w:lang w:val="x-none"/>
        </w:rPr>
        <w:t>чл. 65 от АПК</w:t>
      </w:r>
      <w:r>
        <w:t>. Оспореното решение</w:t>
      </w:r>
      <w:r>
        <w:rPr>
          <w:rFonts w:eastAsia="Calibri"/>
          <w:lang w:eastAsia="en-US"/>
        </w:rPr>
        <w:t xml:space="preserve"> притежава тези характеристики, поради което в неговата цялост е общ админ</w:t>
      </w:r>
      <w:r>
        <w:rPr>
          <w:rFonts w:eastAsia="Calibri"/>
          <w:lang w:eastAsia="en-US"/>
        </w:rPr>
        <w:t>истративен акт. В този смисъл и Решение № 2952 от 30.03.2022г. постановено по адм. дело № 5700/2021г. на ВАС, с което е потвърдено Решение № 59 от 2021г. по дело № 5/2021г. на АдмС-Кърджали, с които е прието че обжалваният акт, който е с почти идентично съ</w:t>
      </w:r>
      <w:r>
        <w:rPr>
          <w:rFonts w:eastAsia="Calibri"/>
          <w:lang w:eastAsia="en-US"/>
        </w:rPr>
        <w:t>държание на разглеждания в настоящото производство е именно общ административен акт. Наред с това, съдът не възприема тезата на ответника, че в частта по т.2, т.3 и т.4 от решението същото не засяга правната сфера на оспорващите. Както се посочи, тези оспо</w:t>
      </w:r>
      <w:r>
        <w:rPr>
          <w:rFonts w:eastAsia="Calibri"/>
          <w:lang w:eastAsia="en-US"/>
        </w:rPr>
        <w:t>рени части от решението, са неразривно свързани с т.1 от същото, с тях общинският съвет, като е отчел отмяната на предходно приетото решение определящо дължимия размер на ТБО за същата година, е уредил начина за събиране на ТБО за 2021г. Ето защо посоченит</w:t>
      </w:r>
      <w:r>
        <w:rPr>
          <w:rFonts w:eastAsia="Calibri"/>
          <w:lang w:eastAsia="en-US"/>
        </w:rPr>
        <w:t>е части от решението засягат правната сфера на оспорващите лица. Още повече, че в т.2 и т.4 от решението не е посочен като адресат местния орган по приходите.  Дори да би могло да се приеме, че в тази му част решението е вътрешно служебен акт, то съобразно</w:t>
      </w:r>
      <w:r>
        <w:rPr>
          <w:rFonts w:eastAsia="Calibri"/>
          <w:lang w:eastAsia="en-US"/>
        </w:rPr>
        <w:t xml:space="preserve"> чл.2, ал.2, т.3 от АПК отново подлежи на обжалване, тъй като по посочените по - горе съображения, засяга права и интереси на жалбоподателите. Предвид горното съда достига до извода, че процесното решение представлява общ административен акт, в неговата ця</w:t>
      </w:r>
      <w:r>
        <w:rPr>
          <w:rFonts w:eastAsia="Calibri"/>
          <w:lang w:eastAsia="en-US"/>
        </w:rPr>
        <w:t xml:space="preserve">лост, който подлежи на оспорване пред съд. За прецизност следва да се посочи, че цитираната от ответника съдебна практика е неотносима – същата касае оспорване на актове различни по вид или с различно съдържание от този предмет на разглеждане в настоящото </w:t>
      </w:r>
      <w:r>
        <w:rPr>
          <w:rFonts w:eastAsia="Calibri"/>
          <w:lang w:eastAsia="en-US"/>
        </w:rPr>
        <w:t xml:space="preserve">производство. </w:t>
      </w:r>
    </w:p>
    <w:p w:rsidR="00000000" w:rsidRDefault="00D9309B">
      <w:pPr>
        <w:pStyle w:val="ae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Наред с това решението  е разгласено, като видно от доказателствата по делото е публикувано на сайта на община Хасково на 16.12.2022г.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л.6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 xml:space="preserve">  и от тази дата е започнал да тече едномесечният срок предвиден в чл. 179 от АПК за оспорването му п</w:t>
      </w:r>
      <w:r>
        <w:rPr>
          <w:rFonts w:eastAsia="Calibri"/>
          <w:lang w:eastAsia="en-US"/>
        </w:rPr>
        <w:t xml:space="preserve">ред съда. </w:t>
      </w:r>
      <w:r>
        <w:rPr>
          <w:rFonts w:eastAsia="Calibri"/>
          <w:lang w:val="x-none" w:eastAsia="en-US"/>
        </w:rPr>
        <w:t xml:space="preserve">Жалбата, </w:t>
      </w:r>
      <w:r>
        <w:rPr>
          <w:rFonts w:eastAsia="Calibri"/>
          <w:lang w:eastAsia="en-US"/>
        </w:rPr>
        <w:t>е депозирана в съда на 30.12.2022г., т.е. при спазване на законоустановения срок.</w:t>
      </w:r>
    </w:p>
    <w:p w:rsidR="00000000" w:rsidRDefault="00D9309B">
      <w:pPr>
        <w:pStyle w:val="ae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val="x-none" w:eastAsia="en-US"/>
        </w:rPr>
        <w:t>Съгласно чл. 64 от ЗМДТ, таксата битови отпадъци се заплаща от лицата по чл. 11 от същия закон – данъчно задължени лица - собствениците на облагаеми с данъ</w:t>
      </w:r>
      <w:r>
        <w:rPr>
          <w:rFonts w:eastAsia="Calibri"/>
          <w:lang w:val="x-none" w:eastAsia="en-US"/>
        </w:rPr>
        <w:t>к недвижими имоти</w:t>
      </w:r>
      <w:r>
        <w:rPr>
          <w:rFonts w:eastAsia="Calibri"/>
          <w:lang w:eastAsia="en-US"/>
        </w:rPr>
        <w:t>.</w:t>
      </w:r>
      <w:r>
        <w:rPr>
          <w:rFonts w:eastAsia="Calibri"/>
          <w:lang w:val="x-none" w:eastAsia="en-US"/>
        </w:rPr>
        <w:t xml:space="preserve"> </w:t>
      </w:r>
      <w:r>
        <w:t>Жалбоподателят М.Ц. е физическо лице, а „Глиган“ЕООД, гр.Хасково – юридическо лице, които видно от приложените по делото писмени доказателства притежават недвижими имоти находящи се на територията на Община Хасково, попадащи в хипотезите</w:t>
      </w:r>
      <w:r>
        <w:t xml:space="preserve"> на т.1, подт. 1.1, 1.2, и 1.3 от решението.</w:t>
      </w:r>
      <w:r>
        <w:rPr>
          <w:rFonts w:eastAsia="Calibri"/>
          <w:lang w:eastAsia="en-US"/>
        </w:rPr>
        <w:t xml:space="preserve"> Като собственици на  такива  същите са </w:t>
      </w:r>
      <w:r>
        <w:rPr>
          <w:rFonts w:eastAsia="Calibri"/>
          <w:lang w:val="x-none" w:eastAsia="en-US"/>
        </w:rPr>
        <w:t xml:space="preserve"> данъчно задължен</w:t>
      </w:r>
      <w:r>
        <w:rPr>
          <w:rFonts w:eastAsia="Calibri"/>
          <w:lang w:eastAsia="en-US"/>
        </w:rPr>
        <w:t>и</w:t>
      </w:r>
      <w:r>
        <w:rPr>
          <w:rFonts w:eastAsia="Calibri"/>
          <w:lang w:val="x-none" w:eastAsia="en-US"/>
        </w:rPr>
        <w:t xml:space="preserve"> лиц</w:t>
      </w:r>
      <w:r>
        <w:rPr>
          <w:rFonts w:eastAsia="Calibri"/>
          <w:lang w:eastAsia="en-US"/>
        </w:rPr>
        <w:t>а,</w:t>
      </w:r>
      <w:r>
        <w:rPr>
          <w:rFonts w:eastAsia="Calibri"/>
          <w:lang w:val="x-none" w:eastAsia="en-US"/>
        </w:rPr>
        <w:t xml:space="preserve"> по смисъла на чл. 11, ал.1 от ЗМДТ и по силата на препратката на чл. 64 от с.з. към този текст, дълж</w:t>
      </w:r>
      <w:r>
        <w:rPr>
          <w:rFonts w:eastAsia="Calibri"/>
          <w:lang w:eastAsia="en-US"/>
        </w:rPr>
        <w:t>а</w:t>
      </w:r>
      <w:r>
        <w:rPr>
          <w:rFonts w:eastAsia="Calibri"/>
          <w:lang w:val="x-none" w:eastAsia="en-US"/>
        </w:rPr>
        <w:t>т заплащане на такса битови отпадъци за имот</w:t>
      </w:r>
      <w:r>
        <w:rPr>
          <w:rFonts w:eastAsia="Calibri"/>
          <w:lang w:eastAsia="en-US"/>
        </w:rPr>
        <w:t>ит</w:t>
      </w:r>
      <w:r>
        <w:rPr>
          <w:rFonts w:eastAsia="Calibri"/>
          <w:lang w:eastAsia="en-US"/>
        </w:rPr>
        <w:t xml:space="preserve">е </w:t>
      </w:r>
      <w:r>
        <w:rPr>
          <w:rFonts w:eastAsia="Calibri"/>
          <w:lang w:val="x-none" w:eastAsia="en-US"/>
        </w:rPr>
        <w:t>си</w:t>
      </w:r>
      <w:r>
        <w:rPr>
          <w:rFonts w:eastAsia="Calibri"/>
          <w:lang w:eastAsia="en-US"/>
        </w:rPr>
        <w:t>.</w:t>
      </w:r>
    </w:p>
    <w:p w:rsidR="00000000" w:rsidRDefault="00D9309B">
      <w:pPr>
        <w:pStyle w:val="ae"/>
        <w:ind w:firstLine="851"/>
        <w:jc w:val="both"/>
      </w:pPr>
      <w:r>
        <w:rPr>
          <w:rFonts w:eastAsia="Calibri"/>
          <w:lang w:eastAsia="en-US"/>
        </w:rPr>
        <w:t xml:space="preserve">Ето защо жалбата е допустима за разглеждане, а  искането  на ответната страна,  делото да се прекрати, е неоснователно. </w:t>
      </w:r>
    </w:p>
    <w:p w:rsidR="00000000" w:rsidRDefault="00D9309B">
      <w:pPr>
        <w:pStyle w:val="ae"/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 xml:space="preserve">           Разгледана по същество, жалбата е основателна.</w:t>
      </w:r>
    </w:p>
    <w:p w:rsidR="00000000" w:rsidRDefault="00D9309B">
      <w:pPr>
        <w:ind w:firstLine="708"/>
        <w:jc w:val="both"/>
        <w:rPr>
          <w:rFonts w:ascii="Tahoma" w:hAnsi="Tahoma" w:cs="Tahoma"/>
        </w:rPr>
      </w:pPr>
      <w:r>
        <w:t>Оспореното Решение е прието при проведено поименно гласуване, в съответ</w:t>
      </w:r>
      <w:r>
        <w:t>ствие с чл.27, ал.5 от ЗМСМА, в което са участвали 3</w:t>
      </w:r>
      <w:r>
        <w:rPr>
          <w:lang w:val="en-US"/>
        </w:rPr>
        <w:t>7</w:t>
      </w:r>
      <w:r>
        <w:t xml:space="preserve"> от общо 41 съветника в ОбС – Хасково. Положителен вот за приемане на решението са</w:t>
      </w:r>
      <w:r>
        <w:rPr>
          <w:lang w:val="en-US"/>
        </w:rPr>
        <w:t xml:space="preserve"> </w:t>
      </w:r>
      <w:r>
        <w:t xml:space="preserve">дали всички участвали в гласуването общински съветници, т.е. същото прието е с мнозинство повече от половината от общия </w:t>
      </w:r>
      <w:r>
        <w:t>брой на съветници.</w:t>
      </w:r>
      <w:r>
        <w:rPr>
          <w:rFonts w:ascii="Tahoma" w:hAnsi="Tahoma" w:cs="Tahoma"/>
        </w:rPr>
        <w:t xml:space="preserve"> </w:t>
      </w:r>
    </w:p>
    <w:p w:rsidR="00000000" w:rsidRDefault="00D9309B">
      <w:pPr>
        <w:ind w:firstLine="708"/>
        <w:jc w:val="both"/>
        <w:rPr>
          <w:rFonts w:ascii="Tahoma" w:hAnsi="Tahoma" w:cs="Tahoma"/>
          <w:color w:val="FF0000"/>
        </w:rPr>
      </w:pPr>
      <w:r>
        <w:t>Волеизявлението на общинския съвет е обективирано в писмена форма,  съответно спазена е изискуемата от закона форма на акта. Оспореното решение е издадено от орган разполагащ с необходимата компетентност. Съобразно чл.21, ал.1, т.7 от З</w:t>
      </w:r>
      <w:r>
        <w:t>МСМА общинският съвет разполага с предоставено то закона правомощие да определя размера на местните такси, а съгласно чл. 69, ал.1 от ЗМДТ ТБО се заплаща по ред определен от общинския съвет. С т.1, подт. 1.1, 1.2 и 1.3 от  оспореното решение е посочен какъ</w:t>
      </w:r>
      <w:r>
        <w:t>в  следва да е размера на ТБО за 2021г. за населението на град Хасково и селата в Община Хасково, както и за нежилищните имоти на предприятията, а с т.2,т.3, и т.4, какъв следва да е реда за заплащането й, отчитайки отмяната по съдебен ред на предходно при</w:t>
      </w:r>
      <w:r>
        <w:t xml:space="preserve">етото решение на ОбС-Хасково, определящо този размер. С решението пряко не се прихващат и възстановяват суми, поради което и доводите на жалбоподателите за нищожност на същото, са неоснователни. 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Съгласно чл.66, ал.1 от АПК, откриването на производството п</w:t>
      </w:r>
      <w:r>
        <w:rPr>
          <w:rFonts w:eastAsia="Calibri"/>
          <w:lang w:eastAsia="en-US"/>
        </w:rPr>
        <w:t>о издаване на общия административен акт се оповестява публично чрез средствата за масово осведомяване, чрез изпращането на проекта до организации на заинтересованите лица или по друг подходящ начин, като в ал.2 е предвидено, че уведомяването по ал.1 включв</w:t>
      </w:r>
      <w:r>
        <w:rPr>
          <w:rFonts w:eastAsia="Calibri"/>
          <w:lang w:eastAsia="en-US"/>
        </w:rPr>
        <w:t>а и основните съображения за издаването на акта, както и формите на участие на заинтересованите лица в производството.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Съгласно чл.69, ал.1 от АПК, административният орган определя и оповестява публично по реда, определен в чл.66, ал.1, една или повече от </w:t>
      </w:r>
      <w:r>
        <w:rPr>
          <w:rFonts w:eastAsia="Calibri"/>
          <w:lang w:eastAsia="en-US"/>
        </w:rPr>
        <w:t xml:space="preserve">следните форми на участие на заинтересованите лица в производството по издаване на акта: 1. писмени предложения и възражения; 2. участие в консултативни органи, подпомагащи органа, издаващ акта; 3. участие в заседания на органа, издаващ акта, когато той е </w:t>
      </w:r>
      <w:r>
        <w:rPr>
          <w:rFonts w:eastAsia="Calibri"/>
          <w:lang w:eastAsia="en-US"/>
        </w:rPr>
        <w:t>колективен; 4. обществено обсъждане. Съгласно ал.2 на същия текст, административният орган осигурява на заинтересованите лица възможност да осъществят правото си на участие в разумен срок, определен от административния орган, който не може да бъде по-кратъ</w:t>
      </w:r>
      <w:r>
        <w:rPr>
          <w:rFonts w:eastAsia="Calibri"/>
          <w:lang w:eastAsia="en-US"/>
        </w:rPr>
        <w:t>к от един месец от деня на уведомяването по чл.66.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Видно е от представените по делото доказателства, че докладната записка на кмета на Община Хасково, с която е предложено вземане на решение за определяне размера на такса битови отпадъци за Община Хасково </w:t>
      </w:r>
      <w:r>
        <w:rPr>
          <w:rFonts w:eastAsia="Calibri"/>
          <w:lang w:eastAsia="en-US"/>
        </w:rPr>
        <w:t xml:space="preserve">за 2021г. е публикувана на 08.12.2022г. на електронната страницата на Община Хасково. От текста на същата е видно, че не са спазени изискванията   на чл.69, ал.1 от АПК, вр. с чл. 66, ал.2, предл.2-ро от АПК по отношение публичното оповестяване формите на </w:t>
      </w:r>
      <w:r>
        <w:rPr>
          <w:rFonts w:eastAsia="Calibri"/>
          <w:lang w:eastAsia="en-US"/>
        </w:rPr>
        <w:t xml:space="preserve">участие на заинтересованите лица в производството и възможността им в определен от органа срок, не по кратък от 1 месец да осъществят правото си на участие. От текста на докладната записка не се установява и спазване изискването на чл. 69, ал.2 от АПК.  В </w:t>
      </w:r>
      <w:r>
        <w:rPr>
          <w:rFonts w:eastAsia="Calibri"/>
          <w:lang w:eastAsia="en-US"/>
        </w:rPr>
        <w:t>писмо вх. №208/2023г.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л.22</w:t>
      </w:r>
      <w:r>
        <w:rPr>
          <w:rFonts w:eastAsia="Calibri"/>
          <w:lang w:val="en-US" w:eastAsia="en-US"/>
        </w:rPr>
        <w:t xml:space="preserve">) </w:t>
      </w:r>
      <w:r>
        <w:rPr>
          <w:rFonts w:eastAsia="Calibri"/>
          <w:lang w:eastAsia="en-US"/>
        </w:rPr>
        <w:t xml:space="preserve">при АдмС-Хасково 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рег. индекс 11-36-2</w:t>
      </w:r>
      <w:r>
        <w:rPr>
          <w:rFonts w:eastAsia="Calibri"/>
          <w:lang w:val="en-US" w:eastAsia="en-US"/>
        </w:rPr>
        <w:t>#1</w:t>
      </w:r>
      <w:r>
        <w:rPr>
          <w:rFonts w:eastAsia="Calibri"/>
          <w:lang w:eastAsia="en-US"/>
        </w:rPr>
        <w:t xml:space="preserve"> от 10.01.2023г.при Община Хасково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 xml:space="preserve"> на Председателя на ОбС-Хасково  е посочено, че по делото е представена пълната административна преписка по издаване на обжалвания акт, но изпълнението на</w:t>
      </w:r>
      <w:r>
        <w:rPr>
          <w:rFonts w:eastAsia="Calibri"/>
          <w:lang w:eastAsia="en-US"/>
        </w:rPr>
        <w:t xml:space="preserve"> изискването на цитираните норми не се установява от другите представени по преписката документи. С Определение №46/12.01.2023г. съдът е указал на ответника, че следва да допълни административната преписка, като представи във вид на заверен препис доказате</w:t>
      </w:r>
      <w:r>
        <w:rPr>
          <w:rFonts w:eastAsia="Calibri"/>
          <w:lang w:eastAsia="en-US"/>
        </w:rPr>
        <w:t>лства удостоверяващи спазването на чл.66 и чл.69 от АПК.Това определение е надлежно съобщено на ответната страна на 13.01.2023г.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л.58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 xml:space="preserve">, но до приключване съдебното производство доказателство за спазване изискванията на цитираните норми не е представено. </w:t>
      </w:r>
      <w:r>
        <w:rPr>
          <w:rFonts w:eastAsia="Calibri"/>
          <w:lang w:val="x-none" w:eastAsia="en-US"/>
        </w:rPr>
        <w:t>Ка</w:t>
      </w:r>
      <w:r>
        <w:rPr>
          <w:rFonts w:eastAsia="Calibri"/>
          <w:lang w:val="x-none" w:eastAsia="en-US"/>
        </w:rPr>
        <w:t>то не е изпълнил изискванията на</w:t>
      </w:r>
      <w:r>
        <w:rPr>
          <w:rFonts w:eastAsia="Calibri"/>
          <w:lang w:eastAsia="en-US"/>
        </w:rPr>
        <w:t xml:space="preserve"> коментираната разпоредба на чл. 69, ал.2, вр. с ал.1, вр. с чл. 66, ал.2, предл.2-ро от АПК </w:t>
      </w:r>
      <w:r>
        <w:rPr>
          <w:rFonts w:eastAsia="Calibri"/>
          <w:lang w:val="x-none" w:eastAsia="en-US"/>
        </w:rPr>
        <w:t>административният орган е допуснал съществено нарушение на административно-производствените правила, тъй като е нарушено правото на</w:t>
      </w:r>
      <w:r>
        <w:rPr>
          <w:rFonts w:eastAsia="Calibri"/>
          <w:lang w:val="x-none" w:eastAsia="en-US"/>
        </w:rPr>
        <w:t xml:space="preserve"> участие на заинтересованите лица в производството по издаване на общия административен акт и същият е издаден без да са изяснени фактите и обстоятелствата от значение за случая, в т.ч. без да е дадена възможност за предложения и възражения на заинтересова</w:t>
      </w:r>
      <w:r>
        <w:rPr>
          <w:rFonts w:eastAsia="Calibri"/>
          <w:lang w:val="x-none" w:eastAsia="en-US"/>
        </w:rPr>
        <w:t>ните лица, респективно без да са обсъдени такива, които евентуално биха постъпили. Лишаването на адресатите на акта от това право обосновава незаконосъобразност на постановеното волеизявление и е самостоятелно основание за отмяна на акта. В този смисъл</w:t>
      </w:r>
      <w:r>
        <w:rPr>
          <w:rFonts w:eastAsia="Calibri"/>
          <w:lang w:eastAsia="en-US"/>
        </w:rPr>
        <w:t xml:space="preserve"> е и</w:t>
      </w:r>
      <w:r>
        <w:rPr>
          <w:rFonts w:eastAsia="Calibri"/>
          <w:lang w:eastAsia="en-US"/>
        </w:rPr>
        <w:t xml:space="preserve"> неизменната и трайна практика, на касационната инстанция изразена в </w:t>
      </w:r>
      <w:r>
        <w:rPr>
          <w:rFonts w:eastAsia="Calibri"/>
          <w:lang w:val="x-none" w:eastAsia="en-US"/>
        </w:rPr>
        <w:t xml:space="preserve"> Решение № 3592/31.03.2015 г. по адм.д.№ 6365/2014 г. VII отд.</w:t>
      </w:r>
      <w:r>
        <w:rPr>
          <w:rFonts w:eastAsia="Calibri"/>
          <w:lang w:eastAsia="en-US"/>
        </w:rPr>
        <w:t>,</w:t>
      </w:r>
      <w:r>
        <w:rPr>
          <w:rFonts w:eastAsia="Calibri"/>
          <w:lang w:val="x-none" w:eastAsia="en-US"/>
        </w:rPr>
        <w:t xml:space="preserve"> Решение № 4064/09.04.2015 г. по адм.д.№ 10786/2014 г., VII отд.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val="x-none" w:eastAsia="en-US"/>
        </w:rPr>
        <w:t xml:space="preserve">Решение № 1961/24.02.2015 г. по адм.д.№ 8123/2014 г., VII </w:t>
      </w:r>
      <w:r>
        <w:rPr>
          <w:rFonts w:eastAsia="Calibri"/>
          <w:lang w:val="x-none" w:eastAsia="en-US"/>
        </w:rPr>
        <w:t>отд.</w:t>
      </w:r>
      <w:r>
        <w:rPr>
          <w:rFonts w:eastAsia="Calibri"/>
          <w:lang w:eastAsia="en-US"/>
        </w:rPr>
        <w:t>, Решение 675/16.01.2019 г. по адм. д. № 6822/2018 г., VІІІ отд, Решение № 12799 от 25.11.2016 г. по адм. д. № 6676/2016 г., VII о., Решение № 12799 от 25.11.2016 г. по адм. д. № 6676/2016 г., VII о., Решение № 3401/19.03.2018 г. по адм. д. № 4542/2017</w:t>
      </w:r>
      <w:r>
        <w:rPr>
          <w:rFonts w:eastAsia="Calibri"/>
          <w:lang w:eastAsia="en-US"/>
        </w:rPr>
        <w:t xml:space="preserve"> г., ІІІ отд., Решение № 14740 от 29.11.2018 г. по адм. д. № 9122/2018 г., I о., Решение № 6260/28.05.2020г., по адм. дело № 9771/2018г. </w:t>
      </w:r>
      <w:r>
        <w:rPr>
          <w:rFonts w:eastAsia="Calibri"/>
          <w:lang w:val="en-US" w:eastAsia="en-US"/>
        </w:rPr>
        <w:t>III</w:t>
      </w:r>
      <w:r>
        <w:rPr>
          <w:rFonts w:eastAsia="Calibri"/>
          <w:lang w:eastAsia="en-US"/>
        </w:rPr>
        <w:t>о.  и мн. др.).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val="x-none" w:eastAsia="en-US"/>
        </w:rPr>
        <w:t xml:space="preserve">С оглед </w:t>
      </w:r>
      <w:r>
        <w:rPr>
          <w:rFonts w:eastAsia="Calibri"/>
          <w:lang w:eastAsia="en-US"/>
        </w:rPr>
        <w:t xml:space="preserve">гореизложеното и предвид </w:t>
      </w:r>
      <w:r>
        <w:rPr>
          <w:rFonts w:eastAsia="Calibri"/>
          <w:lang w:val="x-none" w:eastAsia="en-US"/>
        </w:rPr>
        <w:t xml:space="preserve">констатираните </w:t>
      </w:r>
      <w:r>
        <w:rPr>
          <w:rFonts w:eastAsia="Calibri"/>
          <w:lang w:eastAsia="en-US"/>
        </w:rPr>
        <w:t xml:space="preserve">от съда </w:t>
      </w:r>
      <w:r>
        <w:rPr>
          <w:rFonts w:eastAsia="Calibri"/>
          <w:lang w:val="x-none" w:eastAsia="en-US"/>
        </w:rPr>
        <w:t>съществени нарушения на административно-прои</w:t>
      </w:r>
      <w:r>
        <w:rPr>
          <w:rFonts w:eastAsia="Calibri"/>
          <w:lang w:val="x-none" w:eastAsia="en-US"/>
        </w:rPr>
        <w:t>зводствените правила</w:t>
      </w:r>
      <w:r>
        <w:rPr>
          <w:rFonts w:eastAsia="Calibri"/>
          <w:lang w:eastAsia="en-US"/>
        </w:rPr>
        <w:t xml:space="preserve">, то е налице основание за отмяна на същото. 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Предвид наличието на посоченото основание за отмяна на общия административен акт, останалите изложени в жалбата съображения за незаконосъобразност на същия не следва да се обсъждат.  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При този изход на спора основателна се явява претенцията на жалбоподателите за присъждане разноски по делото. В полза на М.Т.Ц. следва да бъде присъдена сумата от 10.00лева, представляваща дължимо внесена  ДТ. Оспорващото дружество е сторило разноски в общ</w:t>
      </w:r>
      <w:r>
        <w:rPr>
          <w:rFonts w:eastAsia="Calibri"/>
          <w:lang w:eastAsia="en-US"/>
        </w:rPr>
        <w:t xml:space="preserve"> размер на 1270 лева, от които 50 лв. внесена ДТ, 20 лева внесена такса за обнародване в ДВ и 1200 лева заплатено адвокатско възнаграждение, съгласно договор за правна защита и съдействие от 01.03.2023г. 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л.77</w:t>
      </w:r>
      <w:r>
        <w:rPr>
          <w:rFonts w:eastAsia="Calibri"/>
          <w:lang w:val="en-US" w:eastAsia="en-US"/>
        </w:rPr>
        <w:t xml:space="preserve">). </w:t>
      </w:r>
      <w:r>
        <w:rPr>
          <w:rFonts w:eastAsia="Calibri"/>
          <w:lang w:eastAsia="en-US"/>
        </w:rPr>
        <w:t>Възражението на ответника за прекомерност на</w:t>
      </w:r>
      <w:r>
        <w:rPr>
          <w:rFonts w:eastAsia="Calibri"/>
          <w:lang w:eastAsia="en-US"/>
        </w:rPr>
        <w:t xml:space="preserve"> заплатения адвокатски хонорар е своевременно заявено, а по същество и основателно предвид  липсата на правна и фактическа сложност  по делото. Ето защо и същото следва да бъде уважено, като на дружеството следва да бъдат присъдени разноски представляващи </w:t>
      </w:r>
      <w:r>
        <w:rPr>
          <w:rFonts w:eastAsia="Calibri"/>
          <w:lang w:eastAsia="en-US"/>
        </w:rPr>
        <w:t xml:space="preserve">адвокатско възнаграждение, в минималния установен в чл. 8, ал.4 от Наредба № 1/2004г. размер от 1000 лева.   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val="x-none" w:eastAsia="en-US"/>
        </w:rPr>
        <w:t xml:space="preserve">Водим от гореизложеното и на основание чл. </w:t>
      </w:r>
      <w:r>
        <w:rPr>
          <w:rFonts w:eastAsia="Calibri"/>
          <w:lang w:eastAsia="en-US"/>
        </w:rPr>
        <w:t xml:space="preserve">184 от АПК, вр. с чл. </w:t>
      </w:r>
      <w:r>
        <w:rPr>
          <w:rFonts w:eastAsia="Calibri"/>
          <w:lang w:val="x-none" w:eastAsia="en-US"/>
        </w:rPr>
        <w:t>172, ал.2 от  АПК, съдът</w:t>
      </w:r>
    </w:p>
    <w:p w:rsidR="00000000" w:rsidRDefault="00D9309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x-none" w:eastAsia="en-US"/>
        </w:rPr>
        <w:t>Р Е Ш И:</w:t>
      </w:r>
    </w:p>
    <w:p w:rsidR="00000000" w:rsidRDefault="00D9309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</w:t>
      </w:r>
    </w:p>
    <w:p w:rsidR="00000000" w:rsidRDefault="00D9309B">
      <w:pPr>
        <w:pStyle w:val="ae"/>
        <w:ind w:firstLine="709"/>
        <w:jc w:val="both"/>
      </w:pPr>
      <w:r>
        <w:rPr>
          <w:rFonts w:eastAsia="Calibri"/>
          <w:b/>
          <w:lang w:val="x-none" w:eastAsia="en-US"/>
        </w:rPr>
        <w:t>ОТМЕНЯ</w:t>
      </w:r>
      <w:r>
        <w:rPr>
          <w:rFonts w:eastAsia="Calibri"/>
          <w:lang w:val="x-none" w:eastAsia="en-US"/>
        </w:rPr>
        <w:t xml:space="preserve"> </w:t>
      </w:r>
      <w:r>
        <w:t>Решение №790 от 16.12.2022г. на Общинс</w:t>
      </w:r>
      <w:r>
        <w:t>ки съвет – Хасково, прието по Протокол №35 от заседание на Общински съвет Хасково от 16.12.2022г.</w:t>
      </w:r>
    </w:p>
    <w:p w:rsidR="00000000" w:rsidRDefault="00D9309B">
      <w:pPr>
        <w:pStyle w:val="ae"/>
        <w:ind w:firstLine="709"/>
        <w:jc w:val="both"/>
      </w:pPr>
      <w:r>
        <w:rPr>
          <w:b/>
        </w:rPr>
        <w:t>ОСЪЖДА</w:t>
      </w:r>
      <w:r>
        <w:t xml:space="preserve"> Общински съвет Хасково да заплати на М.Т.Ц. *** разноски по адм. дело № 1241/2022г. по описа на АдмС-Хасково, в размер на  10 лева.</w:t>
      </w:r>
    </w:p>
    <w:p w:rsidR="00000000" w:rsidRDefault="00D9309B">
      <w:pPr>
        <w:pStyle w:val="ae"/>
        <w:ind w:firstLine="709"/>
        <w:jc w:val="both"/>
      </w:pPr>
      <w:r>
        <w:rPr>
          <w:b/>
        </w:rPr>
        <w:t>ОСЪЖДА</w:t>
      </w:r>
      <w:r>
        <w:t xml:space="preserve"> Общински съв</w:t>
      </w:r>
      <w:r>
        <w:t>ет Хасково да заплати „Глиган“ЕООД, гр.София разноски по адм. дело № 1241/2022г. по описа на АдмС-Хасково, в размер на 1070 лева.</w:t>
      </w: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x-none" w:eastAsia="en-US"/>
        </w:rPr>
        <w:t>Решението подлежи на касационно обжалване в 14 - дневен срок от съобщението до страните пред Върховен административен съд.</w:t>
      </w:r>
    </w:p>
    <w:p w:rsidR="00000000" w:rsidRDefault="00D9309B">
      <w:pPr>
        <w:jc w:val="both"/>
        <w:rPr>
          <w:rFonts w:eastAsia="Calibri"/>
          <w:sz w:val="22"/>
          <w:szCs w:val="22"/>
          <w:lang w:eastAsia="en-US"/>
        </w:rPr>
      </w:pP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ПРЕДСЕДАТЕЛ: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ЧЛЕНОВЕ:1.</w:t>
      </w: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000000" w:rsidRDefault="00D9309B">
      <w:pPr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 xml:space="preserve">        2.</w:t>
      </w:r>
    </w:p>
    <w:p w:rsidR="00000000" w:rsidRDefault="00D9309B">
      <w:pPr>
        <w:spacing w:after="200" w:line="276" w:lineRule="auto"/>
        <w:rPr>
          <w:rFonts w:ascii="Verdana" w:eastAsia="Calibri" w:hAnsi="Verdana"/>
          <w:sz w:val="22"/>
          <w:szCs w:val="22"/>
          <w:lang w:eastAsia="en-US"/>
        </w:rPr>
      </w:pPr>
    </w:p>
    <w:p w:rsidR="00000000" w:rsidRDefault="00D930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0000" w:rsidRDefault="00D9309B">
      <w:pPr>
        <w:ind w:firstLine="851"/>
        <w:jc w:val="both"/>
        <w:rPr>
          <w:rFonts w:eastAsia="Calibri"/>
          <w:lang w:eastAsia="en-US"/>
        </w:rPr>
      </w:pPr>
    </w:p>
    <w:p w:rsidR="00000000" w:rsidRDefault="00D9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  <w:r>
        <w:rPr>
          <w:color w:val="000000"/>
          <w:sz w:val="28"/>
          <w:szCs w:val="28"/>
        </w:rPr>
        <w:t xml:space="preserve">            </w:t>
      </w:r>
    </w:p>
    <w:sectPr w:rsidR="00000000">
      <w:headerReference w:type="default" r:id="rId10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09B">
      <w:r>
        <w:separator/>
      </w:r>
    </w:p>
  </w:endnote>
  <w:endnote w:type="continuationSeparator" w:id="0">
    <w:p w:rsidR="00000000" w:rsidRDefault="00D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309B">
      <w:r>
        <w:separator/>
      </w:r>
    </w:p>
  </w:footnote>
  <w:footnote w:type="continuationSeparator" w:id="0">
    <w:p w:rsidR="00000000" w:rsidRDefault="00D93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309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000000" w:rsidRDefault="00D930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09B"/>
    <w:rsid w:val="00D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</w:rPr>
  </w:style>
  <w:style w:type="character" w:customStyle="1" w:styleId="HTML0">
    <w:name w:val="HTML стандартен Знак"/>
    <w:link w:val="HTML"/>
    <w:uiPriority w:val="99"/>
    <w:semiHidden/>
    <w:locked/>
    <w:rPr>
      <w:rFonts w:ascii="Courier" w:hAnsi="Courier" w:cs="Courier New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pPr>
      <w:overflowPunct w:val="0"/>
      <w:autoSpaceDE w:val="0"/>
      <w:autoSpaceDN w:val="0"/>
      <w:adjustRightInd w:val="0"/>
      <w:jc w:val="both"/>
    </w:pPr>
    <w:rPr>
      <w:rFonts w:ascii="Hebar" w:hAnsi="Hebar"/>
      <w:szCs w:val="20"/>
      <w:lang w:eastAsia="en-US"/>
    </w:rPr>
  </w:style>
  <w:style w:type="character" w:customStyle="1" w:styleId="ab">
    <w:name w:val="Основен текст Знак"/>
    <w:link w:val="aa"/>
    <w:uiPriority w:val="99"/>
    <w:semiHidden/>
    <w:locked/>
    <w:rPr>
      <w:rFonts w:ascii="Hebar" w:hAnsi="Hebar" w:hint="default"/>
      <w:sz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e">
    <w:name w:val="No Spacing"/>
    <w:uiPriority w:val="1"/>
    <w:qFormat/>
    <w:rPr>
      <w:sz w:val="24"/>
      <w:szCs w:val="24"/>
    </w:rPr>
  </w:style>
  <w:style w:type="paragraph" w:customStyle="1" w:styleId="m">
    <w:name w:val="m"/>
    <w:basedOn w:val="a"/>
    <w:uiPriority w:val="99"/>
    <w:pPr>
      <w:ind w:firstLine="990"/>
      <w:jc w:val="both"/>
    </w:pPr>
    <w:rPr>
      <w:color w:val="000000"/>
    </w:rPr>
  </w:style>
  <w:style w:type="paragraph" w:customStyle="1" w:styleId="1">
    <w:name w:val="Без разредка1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Без разредка3"/>
    <w:uiPriority w:val="99"/>
    <w:rPr>
      <w:sz w:val="24"/>
      <w:szCs w:val="24"/>
    </w:rPr>
  </w:style>
  <w:style w:type="paragraph" w:customStyle="1" w:styleId="2">
    <w:name w:val="Без разредка2"/>
    <w:uiPriority w:val="99"/>
    <w:rPr>
      <w:sz w:val="24"/>
      <w:szCs w:val="24"/>
    </w:rPr>
  </w:style>
  <w:style w:type="character" w:customStyle="1" w:styleId="ldef1">
    <w:name w:val="ldef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pelle">
    <w:name w:val="spelle"/>
  </w:style>
  <w:style w:type="character" w:customStyle="1" w:styleId="annotationcase">
    <w:name w:val="annotation_case"/>
  </w:style>
  <w:style w:type="character" w:customStyle="1" w:styleId="dummywhiteunder">
    <w:name w:val="dummy_whiteund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 w:cs="Courier New"/>
      <w:sz w:val="20"/>
      <w:szCs w:val="20"/>
    </w:rPr>
  </w:style>
  <w:style w:type="character" w:customStyle="1" w:styleId="HTML0">
    <w:name w:val="HTML стандартен Знак"/>
    <w:link w:val="HTML"/>
    <w:uiPriority w:val="99"/>
    <w:semiHidden/>
    <w:locked/>
    <w:rPr>
      <w:rFonts w:ascii="Courier" w:hAnsi="Courier" w:cs="Courier New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pPr>
      <w:overflowPunct w:val="0"/>
      <w:autoSpaceDE w:val="0"/>
      <w:autoSpaceDN w:val="0"/>
      <w:adjustRightInd w:val="0"/>
      <w:jc w:val="both"/>
    </w:pPr>
    <w:rPr>
      <w:rFonts w:ascii="Hebar" w:hAnsi="Hebar"/>
      <w:szCs w:val="20"/>
      <w:lang w:eastAsia="en-US"/>
    </w:rPr>
  </w:style>
  <w:style w:type="character" w:customStyle="1" w:styleId="ab">
    <w:name w:val="Основен текст Знак"/>
    <w:link w:val="aa"/>
    <w:uiPriority w:val="99"/>
    <w:semiHidden/>
    <w:locked/>
    <w:rPr>
      <w:rFonts w:ascii="Hebar" w:hAnsi="Hebar" w:hint="default"/>
      <w:sz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ae">
    <w:name w:val="No Spacing"/>
    <w:uiPriority w:val="1"/>
    <w:qFormat/>
    <w:rPr>
      <w:sz w:val="24"/>
      <w:szCs w:val="24"/>
    </w:rPr>
  </w:style>
  <w:style w:type="paragraph" w:customStyle="1" w:styleId="m">
    <w:name w:val="m"/>
    <w:basedOn w:val="a"/>
    <w:uiPriority w:val="99"/>
    <w:pPr>
      <w:ind w:firstLine="990"/>
      <w:jc w:val="both"/>
    </w:pPr>
    <w:rPr>
      <w:color w:val="000000"/>
    </w:rPr>
  </w:style>
  <w:style w:type="paragraph" w:customStyle="1" w:styleId="1">
    <w:name w:val="Без разредка1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Без разредка3"/>
    <w:uiPriority w:val="99"/>
    <w:rPr>
      <w:sz w:val="24"/>
      <w:szCs w:val="24"/>
    </w:rPr>
  </w:style>
  <w:style w:type="paragraph" w:customStyle="1" w:styleId="2">
    <w:name w:val="Без разредка2"/>
    <w:uiPriority w:val="99"/>
    <w:rPr>
      <w:sz w:val="24"/>
      <w:szCs w:val="24"/>
    </w:rPr>
  </w:style>
  <w:style w:type="character" w:customStyle="1" w:styleId="ldef1">
    <w:name w:val="ldef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spelle">
    <w:name w:val="spelle"/>
  </w:style>
  <w:style w:type="character" w:customStyle="1" w:styleId="annotationcase">
    <w:name w:val="annotation_case"/>
  </w:style>
  <w:style w:type="character" w:customStyle="1" w:styleId="dummywhiteunder">
    <w:name w:val="dummy_whiteund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ANLT&amp;DocCode=14926&amp;ToPar=Art9&amp;Type=201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4123&amp;ToPar=Art8_Al5&amp;Type=20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123&amp;ToPar=Art66_Al1&amp;Type=2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4274</Words>
  <Characters>24364</Characters>
  <Application>Microsoft Office Word</Application>
  <DocSecurity>4</DocSecurity>
  <Lines>203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Решение по Административно дело 1241/2022г.</vt:lpstr>
    </vt:vector>
  </TitlesOfParts>
  <Company>HP Inc.</Company>
  <LinksUpToDate>false</LinksUpToDate>
  <CharactersWithSpaces>28581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по Административно дело 1241/2022г.</dc:title>
  <dc:creator>k.hristova</dc:creator>
  <cp:lastModifiedBy>Maria Bjalkova</cp:lastModifiedBy>
  <cp:revision>2</cp:revision>
  <cp:lastPrinted>2023-03-31T08:05:00Z</cp:lastPrinted>
  <dcterms:created xsi:type="dcterms:W3CDTF">2024-09-17T12:05:00Z</dcterms:created>
  <dcterms:modified xsi:type="dcterms:W3CDTF">2024-09-17T12:05:00Z</dcterms:modified>
</cp:coreProperties>
</file>