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C18">
      <w:pPr>
        <w:pStyle w:val="a5"/>
        <w:jc w:val="center"/>
      </w:pPr>
      <w:bookmarkStart w:id="0" w:name="_GoBack"/>
      <w:bookmarkEnd w:id="0"/>
      <w:r>
        <w:rPr>
          <w:rStyle w:val="a6"/>
          <w:rFonts w:ascii="Arial" w:hAnsi="Arial" w:cs="Arial"/>
          <w:color w:val="000000"/>
          <w:sz w:val="36"/>
          <w:szCs w:val="36"/>
        </w:rPr>
        <w:t>ОПРЕДЕЛЕНИЕ</w:t>
      </w:r>
    </w:p>
    <w:p w:rsidR="00000000" w:rsidRDefault="00B81C18">
      <w:pPr>
        <w:pStyle w:val="a5"/>
        <w:jc w:val="center"/>
      </w:pP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103</w:t>
      </w:r>
      <w:r>
        <w:rPr>
          <w:rStyle w:val="printdefinition"/>
          <w:rFonts w:ascii="Arial" w:hAnsi="Arial" w:cs="Arial"/>
          <w:b/>
          <w:bCs/>
          <w:color w:val="000000"/>
          <w:sz w:val="28"/>
          <w:szCs w:val="28"/>
        </w:rPr>
        <w:t>0</w:t>
      </w:r>
    </w:p>
    <w:p w:rsidR="00000000" w:rsidRDefault="00B81C18">
      <w:pPr>
        <w:pStyle w:val="a5"/>
        <w:jc w:val="center"/>
      </w:pPr>
      <w:r>
        <w:rPr>
          <w:rStyle w:val="printdefinition"/>
          <w:rFonts w:ascii="Arial" w:hAnsi="Arial" w:cs="Arial"/>
          <w:b/>
          <w:bCs/>
          <w:color w:val="000000"/>
          <w:sz w:val="28"/>
          <w:szCs w:val="28"/>
        </w:rPr>
        <w:t>Хасков</w:t>
      </w:r>
      <w:r>
        <w:rPr>
          <w:rStyle w:val="printdefinition"/>
          <w:rFonts w:ascii="Arial" w:hAnsi="Arial" w:cs="Arial"/>
          <w:b/>
          <w:bCs/>
          <w:color w:val="000000"/>
          <w:sz w:val="28"/>
          <w:szCs w:val="28"/>
        </w:rPr>
        <w:t>о</w:t>
      </w: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09.11.2023 г</w:t>
      </w:r>
      <w:r>
        <w:rPr>
          <w:rStyle w:val="printdefinition"/>
          <w:rFonts w:ascii="Arial" w:hAnsi="Arial" w:cs="Arial"/>
          <w:b/>
          <w:bCs/>
          <w:color w:val="000000"/>
          <w:sz w:val="28"/>
          <w:szCs w:val="28"/>
        </w:rPr>
        <w:t>.</w:t>
      </w:r>
    </w:p>
    <w:p w:rsidR="00000000" w:rsidRDefault="00B81C18">
      <w:pPr>
        <w:pStyle w:val="body-text"/>
      </w:pPr>
      <w:r>
        <w:rPr>
          <w:rStyle w:val="printdefinition"/>
          <w:rFonts w:ascii="Arial" w:hAnsi="Arial" w:cs="Arial"/>
          <w:b/>
          <w:bCs/>
          <w:color w:val="000000"/>
        </w:rPr>
        <w:t>Административният съд - Хасков</w:t>
      </w:r>
      <w:r>
        <w:rPr>
          <w:rStyle w:val="printdefinition"/>
          <w:rFonts w:ascii="Arial" w:hAnsi="Arial" w:cs="Arial"/>
          <w:b/>
          <w:bCs/>
          <w:color w:val="000000"/>
        </w:rPr>
        <w:t>о</w:t>
      </w:r>
      <w:r>
        <w:rPr>
          <w:rStyle w:val="a6"/>
          <w:rFonts w:ascii="Arial" w:hAnsi="Arial" w:cs="Arial"/>
          <w:color w:val="000000"/>
        </w:rPr>
        <w:t xml:space="preserve"> </w:t>
      </w:r>
      <w:r>
        <w:rPr>
          <w:rStyle w:val="printdefinition"/>
          <w:rFonts w:ascii="Arial" w:hAnsi="Arial" w:cs="Arial"/>
          <w:b/>
          <w:bCs/>
          <w:color w:val="000000"/>
        </w:rPr>
        <w:t>[Отделение/Състав в акт</w:t>
      </w:r>
      <w:r>
        <w:rPr>
          <w:rStyle w:val="printdefinition"/>
          <w:rFonts w:ascii="Arial" w:hAnsi="Arial" w:cs="Arial"/>
          <w:b/>
          <w:bCs/>
          <w:color w:val="000000"/>
        </w:rPr>
        <w:t>]</w:t>
      </w:r>
      <w:r>
        <w:rPr>
          <w:rFonts w:ascii="Arial" w:hAnsi="Arial" w:cs="Arial"/>
          <w:color w:val="000000"/>
        </w:rPr>
        <w:t xml:space="preserve"> в</w:t>
      </w:r>
      <w:r>
        <w:rPr>
          <w:rFonts w:ascii="Arial" w:hAnsi="Arial" w:cs="Arial"/>
          <w:color w:val="000000"/>
        </w:rPr>
        <w:t xml:space="preserve"> </w:t>
      </w:r>
      <w:r>
        <w:rPr>
          <w:rStyle w:val="printdefinition"/>
          <w:rFonts w:ascii="Arial" w:hAnsi="Arial" w:cs="Arial"/>
          <w:color w:val="000000"/>
        </w:rPr>
        <w:t>закрито заседани</w:t>
      </w:r>
      <w:r>
        <w:rPr>
          <w:rStyle w:val="printdefinition"/>
          <w:rFonts w:ascii="Arial" w:hAnsi="Arial" w:cs="Arial"/>
          <w:color w:val="000000"/>
        </w:rPr>
        <w:t>е</w:t>
      </w:r>
      <w:r>
        <w:rPr>
          <w:rFonts w:ascii="Arial" w:hAnsi="Arial" w:cs="Arial"/>
          <w:color w:val="000000"/>
        </w:rPr>
        <w:t xml:space="preserve"> </w:t>
      </w:r>
      <w:r>
        <w:rPr>
          <w:rStyle w:val="printdefinition"/>
          <w:rFonts w:ascii="Arial" w:hAnsi="Arial" w:cs="Arial"/>
          <w:color w:val="000000"/>
        </w:rPr>
        <w:t>на девети ноември две хиляди и двадесет и трета годин</w:t>
      </w:r>
      <w:r>
        <w:rPr>
          <w:rStyle w:val="printdefinition"/>
          <w:rFonts w:ascii="Arial" w:hAnsi="Arial" w:cs="Arial"/>
          <w:color w:val="000000"/>
        </w:rPr>
        <w:t>а</w:t>
      </w:r>
      <w:r>
        <w:rPr>
          <w:rFonts w:ascii="Arial" w:hAnsi="Arial" w:cs="Arial"/>
          <w:color w:val="000000"/>
        </w:rPr>
        <w:t xml:space="preserve"> в състав:</w:t>
      </w:r>
    </w:p>
    <w:tbl>
      <w:tblPr>
        <w:tblW w:w="5000" w:type="pct"/>
        <w:tblCellSpacing w:w="15" w:type="dxa"/>
        <w:tblLook w:val="04A0" w:firstRow="1" w:lastRow="0" w:firstColumn="1" w:lastColumn="0" w:noHBand="0" w:noVBand="1"/>
      </w:tblPr>
      <w:tblGrid>
        <w:gridCol w:w="5934"/>
        <w:gridCol w:w="3228"/>
      </w:tblGrid>
      <w:tr w:rsidR="00000000">
        <w:trPr>
          <w:tblCellSpacing w:w="15" w:type="dxa"/>
        </w:trPr>
        <w:tc>
          <w:tcPr>
            <w:tcW w:w="9450" w:type="dxa"/>
            <w:tcMar>
              <w:top w:w="15" w:type="dxa"/>
              <w:left w:w="15" w:type="dxa"/>
              <w:bottom w:w="15" w:type="dxa"/>
              <w:right w:w="15" w:type="dxa"/>
            </w:tcMar>
            <w:hideMark/>
          </w:tcPr>
          <w:p w:rsidR="00000000" w:rsidRDefault="00B81C18">
            <w:pPr>
              <w:rPr>
                <w:rFonts w:eastAsia="Times New Roman"/>
                <w:sz w:val="20"/>
                <w:szCs w:val="20"/>
              </w:rPr>
            </w:pPr>
          </w:p>
        </w:tc>
        <w:tc>
          <w:tcPr>
            <w:tcW w:w="4380" w:type="dxa"/>
            <w:tcMar>
              <w:top w:w="15" w:type="dxa"/>
              <w:left w:w="15" w:type="dxa"/>
              <w:bottom w:w="15" w:type="dxa"/>
              <w:right w:w="15" w:type="dxa"/>
            </w:tcMar>
            <w:vAlign w:val="center"/>
            <w:hideMark/>
          </w:tcPr>
          <w:p w:rsidR="00000000" w:rsidRDefault="00B81C18">
            <w:pPr>
              <w:rPr>
                <w:rFonts w:eastAsia="Times New Roman"/>
                <w:sz w:val="20"/>
                <w:szCs w:val="20"/>
              </w:rPr>
            </w:pPr>
          </w:p>
        </w:tc>
      </w:tr>
      <w:tr w:rsidR="00000000">
        <w:trPr>
          <w:tblCellSpacing w:w="15" w:type="dxa"/>
        </w:trPr>
        <w:tc>
          <w:tcPr>
            <w:tcW w:w="9450" w:type="dxa"/>
            <w:tcMar>
              <w:top w:w="15" w:type="dxa"/>
              <w:left w:w="15" w:type="dxa"/>
              <w:bottom w:w="15" w:type="dxa"/>
              <w:right w:w="15" w:type="dxa"/>
            </w:tcMar>
            <w:hideMark/>
          </w:tcPr>
          <w:p w:rsidR="00000000" w:rsidRDefault="00B81C18">
            <w:pPr>
              <w:spacing w:before="300" w:after="600"/>
              <w:jc w:val="right"/>
              <w:rPr>
                <w:rFonts w:eastAsia="Times New Roman"/>
              </w:rPr>
            </w:pPr>
            <w:r>
              <w:rPr>
                <w:rStyle w:val="printdefinition"/>
                <w:rFonts w:ascii="Arial" w:eastAsia="Times New Roman" w:hAnsi="Arial" w:cs="Arial"/>
                <w:b/>
                <w:bCs/>
                <w:caps/>
                <w:color w:val="000000"/>
              </w:rPr>
              <w:t>Съди</w:t>
            </w:r>
            <w:r>
              <w:rPr>
                <w:rStyle w:val="printdefinition"/>
                <w:rFonts w:ascii="Arial" w:eastAsia="Times New Roman" w:hAnsi="Arial" w:cs="Arial"/>
                <w:b/>
                <w:bCs/>
                <w:caps/>
                <w:color w:val="000000"/>
              </w:rPr>
              <w:t>я</w:t>
            </w:r>
            <w:r>
              <w:rPr>
                <w:rStyle w:val="a6"/>
                <w:rFonts w:ascii="Arial" w:eastAsia="Times New Roman" w:hAnsi="Arial" w:cs="Arial"/>
                <w:caps/>
                <w:color w:val="000000"/>
              </w:rPr>
              <w:t xml:space="preserve">: </w:t>
            </w:r>
          </w:p>
        </w:tc>
        <w:tc>
          <w:tcPr>
            <w:tcW w:w="4380" w:type="dxa"/>
            <w:tcMar>
              <w:top w:w="15" w:type="dxa"/>
              <w:left w:w="15" w:type="dxa"/>
              <w:bottom w:w="15" w:type="dxa"/>
              <w:right w:w="15" w:type="dxa"/>
            </w:tcMar>
            <w:vAlign w:val="center"/>
            <w:hideMark/>
          </w:tcPr>
          <w:p w:rsidR="00000000" w:rsidRDefault="00B81C18">
            <w:pPr>
              <w:spacing w:before="300" w:after="600"/>
              <w:rPr>
                <w:rFonts w:eastAsia="Times New Roman"/>
              </w:rPr>
            </w:pPr>
            <w:r>
              <w:rPr>
                <w:rStyle w:val="printdefinition"/>
                <w:rFonts w:ascii="Arial" w:eastAsia="Times New Roman" w:hAnsi="Arial" w:cs="Arial"/>
                <w:caps/>
                <w:color w:val="000000"/>
              </w:rPr>
              <w:t>РОСИЦА ЧИРКАЛЕВА-ИВАНОВ</w:t>
            </w:r>
            <w:r>
              <w:rPr>
                <w:rStyle w:val="printdefinition"/>
                <w:rFonts w:ascii="Arial" w:eastAsia="Times New Roman" w:hAnsi="Arial" w:cs="Arial"/>
                <w:caps/>
                <w:color w:val="000000"/>
              </w:rPr>
              <w:t>А</w:t>
            </w:r>
          </w:p>
        </w:tc>
      </w:tr>
      <w:tr w:rsidR="00000000">
        <w:trPr>
          <w:tblCellSpacing w:w="15" w:type="dxa"/>
        </w:trPr>
        <w:tc>
          <w:tcPr>
            <w:tcW w:w="9450" w:type="dxa"/>
            <w:tcMar>
              <w:top w:w="15" w:type="dxa"/>
              <w:left w:w="15" w:type="dxa"/>
              <w:bottom w:w="15" w:type="dxa"/>
              <w:right w:w="15" w:type="dxa"/>
            </w:tcMar>
            <w:hideMark/>
          </w:tcPr>
          <w:p w:rsidR="00000000" w:rsidRDefault="00B81C18">
            <w:pPr>
              <w:rPr>
                <w:rFonts w:eastAsia="Times New Roman"/>
                <w:sz w:val="20"/>
                <w:szCs w:val="20"/>
              </w:rPr>
            </w:pPr>
          </w:p>
        </w:tc>
        <w:tc>
          <w:tcPr>
            <w:tcW w:w="4380" w:type="dxa"/>
            <w:tcMar>
              <w:top w:w="15" w:type="dxa"/>
              <w:left w:w="15" w:type="dxa"/>
              <w:bottom w:w="15" w:type="dxa"/>
              <w:right w:w="15" w:type="dxa"/>
            </w:tcMar>
            <w:vAlign w:val="center"/>
            <w:hideMark/>
          </w:tcPr>
          <w:p w:rsidR="00000000" w:rsidRDefault="00B81C18">
            <w:pPr>
              <w:rPr>
                <w:rFonts w:eastAsia="Times New Roman"/>
                <w:sz w:val="20"/>
                <w:szCs w:val="20"/>
              </w:rPr>
            </w:pPr>
          </w:p>
        </w:tc>
      </w:tr>
    </w:tbl>
    <w:p w:rsidR="00000000" w:rsidRDefault="00B81C18">
      <w:pPr>
        <w:pStyle w:val="body-text"/>
        <w:jc w:val="both"/>
      </w:pPr>
      <w:r>
        <w:rPr>
          <w:rStyle w:val="printdefinition"/>
        </w:rPr>
        <w:t>Като разгледа докладваното от съдия РОСИЦА ЧИРКАЛЕВА-ИВАНОВ</w:t>
      </w:r>
      <w:r>
        <w:rPr>
          <w:rStyle w:val="printdefinition"/>
        </w:rPr>
        <w:t>А</w:t>
      </w:r>
      <w:r>
        <w:t xml:space="preserve"> административно дело № 20237260701222 / 2023 г., за да се произнесе взе предвид следното</w:t>
      </w:r>
      <w:r>
        <w:t>:</w:t>
      </w:r>
    </w:p>
    <w:p w:rsidR="00000000" w:rsidRDefault="00B81C18">
      <w:pPr>
        <w:pStyle w:val="a5"/>
        <w:ind w:firstLine="990"/>
        <w:jc w:val="both"/>
        <w:divId w:val="567494120"/>
        <w:rPr>
          <w:rFonts w:ascii="MS Sans Serif" w:hAnsi="MS Sans Serif"/>
        </w:rPr>
      </w:pPr>
      <w:r>
        <w:rPr>
          <w:rFonts w:ascii="MS Sans Serif" w:hAnsi="MS Sans Serif"/>
          <w:b/>
          <w:bCs/>
          <w:color w:val="000000"/>
          <w:sz w:val="26"/>
          <w:szCs w:val="26"/>
        </w:rPr>
        <w:t xml:space="preserve">Производството по делото е по реда на </w:t>
      </w:r>
      <w:hyperlink r:id="rId5" w:history="1">
        <w:r>
          <w:rPr>
            <w:rStyle w:val="a3"/>
            <w:rFonts w:ascii="MS Sans Serif" w:hAnsi="MS Sans Serif"/>
            <w:b/>
            <w:bCs/>
            <w:color w:val="000000"/>
            <w:sz w:val="26"/>
            <w:szCs w:val="26"/>
            <w:u w:val="none"/>
            <w:bdr w:val="none" w:sz="0" w:space="0" w:color="auto" w:frame="1"/>
            <w:shd w:val="clear" w:color="auto" w:fill="FFFFFF"/>
          </w:rPr>
          <w:t>чл. 459, ал. 1 от Изборния кодекс</w:t>
        </w:r>
      </w:hyperlink>
      <w:r>
        <w:rPr>
          <w:rFonts w:ascii="MS Sans Serif" w:hAnsi="MS Sans Serif"/>
          <w:b/>
          <w:bCs/>
          <w:color w:val="000000"/>
          <w:sz w:val="26"/>
          <w:szCs w:val="26"/>
        </w:rPr>
        <w:t>.</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 xml:space="preserve">Делото е образувано по жалба на Г.И.И. *** от ПП "БЪЛГАРСКИ ГЛАСЪ" в изборите за общински съветници и кметове от 29.10.2023г. срещу Решение № 254 – МИ от 30.10.2023г. на </w:t>
      </w:r>
      <w:r>
        <w:rPr>
          <w:rFonts w:ascii="MS Sans Serif" w:hAnsi="MS Sans Serif"/>
          <w:color w:val="000000"/>
          <w:sz w:val="26"/>
          <w:szCs w:val="26"/>
        </w:rPr>
        <w:t>Общинска избирателна комисия Хасково, с което на основание чл. 452 от ИК се допуска до участие във втори тур на изборите С. Н. Д., като кандидат за кмет на Община Хасково от ПП ГЕРБ, получил 16429 действителни гласове и Н. Х. С., като независим кандидат за</w:t>
      </w:r>
      <w:r>
        <w:rPr>
          <w:rFonts w:ascii="MS Sans Serif" w:hAnsi="MS Sans Serif"/>
          <w:color w:val="000000"/>
          <w:sz w:val="26"/>
          <w:szCs w:val="26"/>
        </w:rPr>
        <w:t xml:space="preserve"> кмет на Община Хасково, получил 6912 действителни гласове. </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Изложени са доводи за постановяване на оспорения акт при съществени нарушения на Изборния кодекс, довели до неправилно отчитане на действителните и недействителните гласове от проведеното на 29.1</w:t>
      </w:r>
      <w:r>
        <w:rPr>
          <w:rFonts w:ascii="MS Sans Serif" w:hAnsi="MS Sans Serif"/>
          <w:color w:val="000000"/>
          <w:sz w:val="26"/>
          <w:szCs w:val="26"/>
        </w:rPr>
        <w:t>0.2023г. гласуване за кмет на Община Хасково. Твърди се, че последното обстоятелство е довело до недейстителност на допускането на независимия кандидат Н. Х. С. до участие във втори тур. Сочи се, че отчетените за И. действителни гласове възлизат на 6641 бр</w:t>
      </w:r>
      <w:r>
        <w:rPr>
          <w:rFonts w:ascii="MS Sans Serif" w:hAnsi="MS Sans Serif"/>
          <w:color w:val="000000"/>
          <w:sz w:val="26"/>
          <w:szCs w:val="26"/>
        </w:rPr>
        <w:t>., а тези за кандидата за кмет Ставрев на 6912 бр. Претендира се, че при вярно отчитане на действителните гласове би се стигнало до промяна на имащия право да се яви на втори тур кандидат. По тези съображения се иска отмяна на оспореното Решение № 254 – МИ</w:t>
      </w:r>
      <w:r>
        <w:rPr>
          <w:rFonts w:ascii="MS Sans Serif" w:hAnsi="MS Sans Serif"/>
          <w:color w:val="000000"/>
          <w:sz w:val="26"/>
          <w:szCs w:val="26"/>
        </w:rPr>
        <w:t xml:space="preserve"> от 30.10.2023г. на Общинска избирателна комисия Хасково.</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Ответната страна - Общинска избирателна комисия - Хасково, със становище вх. № 8533/09.11.2023г., навежда доводи за недопустимост на процесното оспорване. Излагат се аргументи относно същността на о</w:t>
      </w:r>
      <w:r>
        <w:rPr>
          <w:rFonts w:ascii="MS Sans Serif" w:hAnsi="MS Sans Serif"/>
          <w:color w:val="000000"/>
          <w:sz w:val="26"/>
          <w:szCs w:val="26"/>
        </w:rPr>
        <w:t>спорения акт, като се претендира същият да е част от изборната процедура, в която на оспорване да подлежи единствено крайния акт за определяне на окончателните изборни резултати, в процесния случай след проведен втори тур на 05.11.2023г. Сочи се, че Решени</w:t>
      </w:r>
      <w:r>
        <w:rPr>
          <w:rFonts w:ascii="MS Sans Serif" w:hAnsi="MS Sans Serif"/>
          <w:color w:val="000000"/>
          <w:sz w:val="26"/>
          <w:szCs w:val="26"/>
        </w:rPr>
        <w:t>е № 254 – МИ от 30.10.2023г. на Общинска избирателна комисия Хасково, не представлява Решение за определяне на изборен резултат по смисъла на чл. 459, ал.1 от ИК, предвид което се претендира липсата на законово предвидена възможност за неговото самостоятел</w:t>
      </w:r>
      <w:r>
        <w:rPr>
          <w:rFonts w:ascii="MS Sans Serif" w:hAnsi="MS Sans Serif"/>
          <w:color w:val="000000"/>
          <w:sz w:val="26"/>
          <w:szCs w:val="26"/>
        </w:rPr>
        <w:t xml:space="preserve">но обжалване. </w:t>
      </w:r>
    </w:p>
    <w:p w:rsidR="00000000" w:rsidRDefault="00B81C18">
      <w:pPr>
        <w:pStyle w:val="a5"/>
        <w:ind w:firstLine="708"/>
        <w:jc w:val="both"/>
        <w:divId w:val="567494120"/>
        <w:rPr>
          <w:rFonts w:ascii="MS Sans Serif" w:hAnsi="MS Sans Serif"/>
        </w:rPr>
      </w:pPr>
      <w:r>
        <w:rPr>
          <w:rFonts w:ascii="MS Sans Serif" w:hAnsi="MS Sans Serif"/>
          <w:b/>
          <w:bCs/>
          <w:sz w:val="26"/>
          <w:szCs w:val="26"/>
        </w:rPr>
        <w:t>След извършена служебна проверка за редовността и допустимост на оспорването на основанията по чл. 159 от АПК, Административен съд – Хасково намира процесната жалба за недопустима, предвид което същата следва да бъде оставена без разглеждане</w:t>
      </w:r>
      <w:r>
        <w:rPr>
          <w:rFonts w:ascii="MS Sans Serif" w:hAnsi="MS Sans Serif"/>
          <w:b/>
          <w:bCs/>
          <w:sz w:val="26"/>
          <w:szCs w:val="26"/>
        </w:rPr>
        <w:t xml:space="preserve">. </w:t>
      </w:r>
    </w:p>
    <w:p w:rsidR="00000000" w:rsidRDefault="00B81C18">
      <w:pPr>
        <w:pStyle w:val="a5"/>
        <w:ind w:firstLine="708"/>
        <w:jc w:val="both"/>
        <w:divId w:val="567494120"/>
        <w:rPr>
          <w:rFonts w:ascii="MS Sans Serif" w:hAnsi="MS Sans Serif"/>
        </w:rPr>
      </w:pPr>
      <w:r>
        <w:rPr>
          <w:rFonts w:ascii="MS Sans Serif" w:hAnsi="MS Sans Serif"/>
          <w:sz w:val="26"/>
          <w:szCs w:val="26"/>
        </w:rPr>
        <w:t>За да достигне до този извод съдът взе предвид следното:</w:t>
      </w:r>
    </w:p>
    <w:p w:rsidR="00000000" w:rsidRDefault="00B81C18">
      <w:pPr>
        <w:pStyle w:val="a5"/>
        <w:ind w:firstLine="709"/>
        <w:jc w:val="both"/>
        <w:divId w:val="567494120"/>
        <w:rPr>
          <w:rFonts w:ascii="MS Sans Serif" w:hAnsi="MS Sans Serif"/>
        </w:rPr>
      </w:pPr>
      <w:r>
        <w:rPr>
          <w:rFonts w:ascii="MS Sans Serif" w:hAnsi="MS Sans Serif"/>
          <w:color w:val="000000"/>
          <w:sz w:val="26"/>
          <w:szCs w:val="26"/>
        </w:rPr>
        <w:t>Между страните липсва спор, че жалбоподателят Г.И.И. е регистриран като кандидат за кмет на Община Хасково от ПП "БЪЛГАРСКИ ГЛАСЪ" в изборите за общински съветници и кметове през 2023г., първият т</w:t>
      </w:r>
      <w:r>
        <w:rPr>
          <w:rFonts w:ascii="MS Sans Serif" w:hAnsi="MS Sans Serif"/>
          <w:color w:val="000000"/>
          <w:sz w:val="26"/>
          <w:szCs w:val="26"/>
        </w:rPr>
        <w:t xml:space="preserve">ур на които е проведен на 29.10.2023г. Не се оспорва и обстоятелството, че никой от участвалите кандидати не е получил повече от половината на действително подадените гласове по смисъла на чл. 452, ал.3 от ИК на първи тур. </w:t>
      </w:r>
    </w:p>
    <w:p w:rsidR="00000000" w:rsidRDefault="00B81C18">
      <w:pPr>
        <w:pStyle w:val="a5"/>
        <w:ind w:firstLine="709"/>
        <w:jc w:val="both"/>
        <w:divId w:val="567494120"/>
        <w:rPr>
          <w:rFonts w:ascii="MS Sans Serif" w:hAnsi="MS Sans Serif"/>
        </w:rPr>
      </w:pPr>
      <w:r>
        <w:rPr>
          <w:rFonts w:ascii="MS Sans Serif" w:hAnsi="MS Sans Serif"/>
          <w:color w:val="000000"/>
          <w:sz w:val="26"/>
          <w:szCs w:val="26"/>
        </w:rPr>
        <w:t xml:space="preserve">Предвид отчетените резултати от </w:t>
      </w:r>
      <w:r>
        <w:rPr>
          <w:rFonts w:ascii="MS Sans Serif" w:hAnsi="MS Sans Serif"/>
          <w:color w:val="000000"/>
          <w:sz w:val="26"/>
          <w:szCs w:val="26"/>
        </w:rPr>
        <w:t>проведения на 29.10.2023г. избор, Общинска избирателна комисия - Хасково приема оспореното Решение № 254 – МИ от 30.10.2023г., с което до втори тур за избор на кмет на Община Хасково са допуснати до участие С. Н. Д., като кандидат за кмет на Община Хасково</w:t>
      </w:r>
      <w:r>
        <w:rPr>
          <w:rFonts w:ascii="MS Sans Serif" w:hAnsi="MS Sans Serif"/>
          <w:color w:val="000000"/>
          <w:sz w:val="26"/>
          <w:szCs w:val="26"/>
        </w:rPr>
        <w:t xml:space="preserve"> от ПП ГЕРБ, получил 16429 действителни гласове и Н. Х. С., като независим кандидат за кмет на Община Хасково, получил 6912 действителни гласове. Не се спори, че вторият тур на изборите е проведен на 05.11.2023г., като окончателните резултати от изборите с</w:t>
      </w:r>
      <w:r>
        <w:rPr>
          <w:rFonts w:ascii="MS Sans Serif" w:hAnsi="MS Sans Serif"/>
          <w:color w:val="000000"/>
          <w:sz w:val="26"/>
          <w:szCs w:val="26"/>
        </w:rPr>
        <w:t>а обявени след провеждане на втори тур.</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Изборният процес за избор на местни органи на изпълнителната власт преминава през самостоятелно обособени етапи на организация и провеждане. Всеки етап включва определени действия и условия, целящи постигане на оконч</w:t>
      </w:r>
      <w:r>
        <w:rPr>
          <w:rFonts w:ascii="MS Sans Serif" w:hAnsi="MS Sans Serif"/>
          <w:color w:val="000000"/>
          <w:sz w:val="26"/>
          <w:szCs w:val="26"/>
        </w:rPr>
        <w:t xml:space="preserve">ателен изборен резултат, който може да е следствие на един или два тура на изборите за кмет при условията на </w:t>
      </w:r>
      <w:hyperlink r:id="rId6" w:history="1">
        <w:r>
          <w:rPr>
            <w:rStyle w:val="a3"/>
            <w:rFonts w:ascii="MS Sans Serif" w:hAnsi="MS Sans Serif"/>
            <w:color w:val="000000"/>
            <w:sz w:val="26"/>
            <w:szCs w:val="26"/>
            <w:u w:val="none"/>
          </w:rPr>
          <w:t>чл. 452 от ИК</w:t>
        </w:r>
      </w:hyperlink>
      <w:r>
        <w:rPr>
          <w:rFonts w:ascii="MS Sans Serif" w:hAnsi="MS Sans Serif"/>
          <w:color w:val="000000"/>
          <w:sz w:val="26"/>
          <w:szCs w:val="26"/>
        </w:rPr>
        <w:t xml:space="preserve">. </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Избран за кмет на кметство или на община е кандидатът, получил</w:t>
      </w:r>
      <w:r>
        <w:rPr>
          <w:rFonts w:ascii="MS Sans Serif" w:hAnsi="MS Sans Serif"/>
          <w:color w:val="000000"/>
          <w:sz w:val="26"/>
          <w:szCs w:val="26"/>
        </w:rPr>
        <w:t xml:space="preserve"> повече от половината от действителните гласове /арг. </w:t>
      </w:r>
      <w:hyperlink r:id="rId7" w:history="1">
        <w:r>
          <w:rPr>
            <w:rStyle w:val="a3"/>
            <w:rFonts w:ascii="MS Sans Serif" w:hAnsi="MS Sans Serif"/>
            <w:color w:val="000000"/>
            <w:sz w:val="26"/>
            <w:szCs w:val="26"/>
            <w:u w:val="none"/>
          </w:rPr>
          <w:t>чл. 452, ал. 3 от ИК</w:t>
        </w:r>
      </w:hyperlink>
      <w:r>
        <w:rPr>
          <w:rFonts w:ascii="MS Sans Serif" w:hAnsi="MS Sans Serif"/>
          <w:color w:val="000000"/>
          <w:sz w:val="26"/>
          <w:szCs w:val="26"/>
        </w:rPr>
        <w:t>/. Когато на първия тур никой от кандидатите не е избран при посочените условия, се произвежда втори тур на и</w:t>
      </w:r>
      <w:r>
        <w:rPr>
          <w:rFonts w:ascii="MS Sans Serif" w:hAnsi="MS Sans Serif"/>
          <w:color w:val="000000"/>
          <w:sz w:val="26"/>
          <w:szCs w:val="26"/>
        </w:rPr>
        <w:t xml:space="preserve">зборите, на който вече за избран се счита този, който е получил най-много действителни гласове /арг. </w:t>
      </w:r>
      <w:hyperlink r:id="rId8" w:history="1">
        <w:r>
          <w:rPr>
            <w:rStyle w:val="a3"/>
            <w:rFonts w:ascii="MS Sans Serif" w:hAnsi="MS Sans Serif"/>
            <w:color w:val="000000"/>
            <w:sz w:val="26"/>
            <w:szCs w:val="26"/>
            <w:u w:val="none"/>
          </w:rPr>
          <w:t>чл. 452, ал. 4</w:t>
        </w:r>
      </w:hyperlink>
      <w:r>
        <w:rPr>
          <w:rFonts w:ascii="MS Sans Serif" w:hAnsi="MS Sans Serif"/>
          <w:color w:val="000000"/>
          <w:sz w:val="26"/>
          <w:szCs w:val="26"/>
        </w:rPr>
        <w:t xml:space="preserve"> и </w:t>
      </w:r>
      <w:hyperlink r:id="rId9" w:history="1">
        <w:r>
          <w:rPr>
            <w:rStyle w:val="a3"/>
            <w:rFonts w:ascii="MS Sans Serif" w:hAnsi="MS Sans Serif"/>
            <w:color w:val="000000"/>
            <w:sz w:val="26"/>
            <w:szCs w:val="26"/>
            <w:u w:val="none"/>
          </w:rPr>
          <w:t>ал. 6 изр. 1 от ИК</w:t>
        </w:r>
      </w:hyperlink>
      <w:r>
        <w:rPr>
          <w:rFonts w:ascii="MS Sans Serif" w:hAnsi="MS Sans Serif"/>
          <w:color w:val="000000"/>
          <w:sz w:val="26"/>
          <w:szCs w:val="26"/>
        </w:rPr>
        <w:t>/.</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Съгласно разпоредбата на чл. 459, ал1 от ИК „</w:t>
      </w:r>
      <w:r>
        <w:rPr>
          <w:rFonts w:ascii="MS Sans Serif" w:hAnsi="MS Sans Serif"/>
          <w:sz w:val="26"/>
          <w:szCs w:val="26"/>
        </w:rPr>
        <w:t xml:space="preserve">Всеки кандидат за общински съветник или кмет, партиите, коалициите и лицето, което представлява инициативния комитет, регистрирали кандидати за съответния вид </w:t>
      </w:r>
      <w:r>
        <w:rPr>
          <w:rFonts w:ascii="MS Sans Serif" w:hAnsi="MS Sans Serif"/>
          <w:sz w:val="26"/>
          <w:szCs w:val="26"/>
        </w:rPr>
        <w:t>избор, може да обжалват решението на общинската избирателна комисия за определяне на резултатите от изборите пред съответния административен съд в 7-дневен срок от обявяването на решението.“</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Предвид изложеното съдът намира, че законодателят императивно е п</w:t>
      </w:r>
      <w:r>
        <w:rPr>
          <w:rFonts w:ascii="MS Sans Serif" w:hAnsi="MS Sans Serif"/>
          <w:color w:val="000000"/>
          <w:sz w:val="26"/>
          <w:szCs w:val="26"/>
        </w:rPr>
        <w:t>осочил решенията на ОИК, които подлежат на обжалване пред съда, а именно решенията за избор на кмет. Останалите решения в процедурата по провеждане на изборите следва да се преценяват по правната им характеристика - дали представляват административни актов</w:t>
      </w:r>
      <w:r>
        <w:rPr>
          <w:rFonts w:ascii="MS Sans Serif" w:hAnsi="MS Sans Serif"/>
          <w:color w:val="000000"/>
          <w:sz w:val="26"/>
          <w:szCs w:val="26"/>
        </w:rPr>
        <w:t>е или са част от действията, предвидени по закон за издаване на актове в процеса на определяне на изборния резултат.</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 xml:space="preserve">В настоящият случай, ОИК Хасково е издала процесното решение в изпълнение на правомощието и задължението си по </w:t>
      </w:r>
      <w:hyperlink r:id="rId10" w:history="1">
        <w:r>
          <w:rPr>
            <w:rStyle w:val="a3"/>
            <w:rFonts w:ascii="MS Sans Serif" w:hAnsi="MS Sans Serif"/>
            <w:color w:val="000000"/>
            <w:sz w:val="26"/>
            <w:szCs w:val="26"/>
            <w:u w:val="none"/>
          </w:rPr>
          <w:t>452, ал.5 от ИК</w:t>
        </w:r>
      </w:hyperlink>
      <w:r>
        <w:rPr>
          <w:rFonts w:ascii="MS Sans Serif" w:hAnsi="MS Sans Serif"/>
          <w:color w:val="000000"/>
          <w:sz w:val="26"/>
          <w:szCs w:val="26"/>
        </w:rPr>
        <w:t>, за да продължи процедурата по избора. С него само се подготвя втория тур, но не се довършва процедурата по избора, поради което този акт е част от производството, подготвящ крайния акт и кат</w:t>
      </w:r>
      <w:r>
        <w:rPr>
          <w:rFonts w:ascii="MS Sans Serif" w:hAnsi="MS Sans Serif"/>
          <w:color w:val="000000"/>
          <w:sz w:val="26"/>
          <w:szCs w:val="26"/>
        </w:rPr>
        <w:t xml:space="preserve">о междинен, несамостоятелен - такъв по смисъла на </w:t>
      </w:r>
      <w:hyperlink r:id="rId11" w:history="1">
        <w:r>
          <w:rPr>
            <w:rStyle w:val="a3"/>
            <w:rFonts w:ascii="MS Sans Serif" w:hAnsi="MS Sans Serif"/>
            <w:color w:val="000000"/>
            <w:sz w:val="26"/>
            <w:szCs w:val="26"/>
            <w:u w:val="none"/>
          </w:rPr>
          <w:t>чл. 21, ал. 5 от АПК</w:t>
        </w:r>
      </w:hyperlink>
      <w:r>
        <w:rPr>
          <w:rFonts w:ascii="MS Sans Serif" w:hAnsi="MS Sans Serif"/>
          <w:color w:val="000000"/>
          <w:sz w:val="26"/>
          <w:szCs w:val="26"/>
        </w:rPr>
        <w:t xml:space="preserve">, не подлежи на контрол. </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 xml:space="preserve">Предвид изложеното, настоящият съдебен състав намира, че решението, в което се отразява </w:t>
      </w:r>
      <w:r>
        <w:rPr>
          <w:rFonts w:ascii="MS Sans Serif" w:hAnsi="MS Sans Serif"/>
          <w:color w:val="000000"/>
          <w:sz w:val="26"/>
          <w:szCs w:val="26"/>
        </w:rPr>
        <w:t xml:space="preserve">резултатът от гласуването на първи тур има значение единствено за насрочване на втори тур и определяне на участниците в него. </w:t>
      </w:r>
    </w:p>
    <w:p w:rsidR="00000000" w:rsidRDefault="00B81C18">
      <w:pPr>
        <w:pStyle w:val="a5"/>
        <w:ind w:firstLine="709"/>
        <w:jc w:val="both"/>
        <w:divId w:val="567494120"/>
        <w:rPr>
          <w:rFonts w:ascii="MS Sans Serif" w:hAnsi="MS Sans Serif"/>
        </w:rPr>
      </w:pPr>
      <w:r>
        <w:rPr>
          <w:rFonts w:ascii="MS Sans Serif" w:hAnsi="MS Sans Serif"/>
          <w:color w:val="000000"/>
          <w:sz w:val="26"/>
          <w:szCs w:val="26"/>
        </w:rPr>
        <w:t xml:space="preserve">Ето защо с оглед етапите на изборния процес и разпоредбата на </w:t>
      </w:r>
      <w:hyperlink r:id="rId12" w:history="1">
        <w:r>
          <w:rPr>
            <w:rStyle w:val="a3"/>
            <w:rFonts w:ascii="MS Sans Serif" w:hAnsi="MS Sans Serif"/>
            <w:color w:val="000000"/>
            <w:sz w:val="26"/>
            <w:szCs w:val="26"/>
            <w:u w:val="none"/>
            <w:bdr w:val="none" w:sz="0" w:space="0" w:color="auto" w:frame="1"/>
            <w:shd w:val="clear" w:color="auto" w:fill="FFFFFF"/>
          </w:rPr>
          <w:t>чл. 459, ал. 1 от ИК</w:t>
        </w:r>
      </w:hyperlink>
      <w:r>
        <w:rPr>
          <w:rFonts w:ascii="MS Sans Serif" w:hAnsi="MS Sans Serif"/>
          <w:color w:val="000000"/>
          <w:sz w:val="26"/>
          <w:szCs w:val="26"/>
        </w:rPr>
        <w:t xml:space="preserve"> за решение за определяне на резултатите от изборите, се приема решението, с което се определя за избран за кмет, кандидата получил най-много действителни гласове, т. е решението на ОИК за определяне на окончателния резултат от из</w:t>
      </w:r>
      <w:r>
        <w:rPr>
          <w:rFonts w:ascii="MS Sans Serif" w:hAnsi="MS Sans Serif"/>
          <w:color w:val="000000"/>
          <w:sz w:val="26"/>
          <w:szCs w:val="26"/>
        </w:rPr>
        <w:t xml:space="preserve">бора. Именно визираното решение поражда целените от закона правни последици, като оспорваното в това производство решение на ответника само определя участниците във втория тур на изборите и не подлежи на самостоятелен съдебен контрол за законосъобразност. </w:t>
      </w:r>
      <w:r>
        <w:rPr>
          <w:rFonts w:ascii="MS Sans Serif" w:hAnsi="MS Sans Serif"/>
          <w:color w:val="000000"/>
          <w:sz w:val="26"/>
          <w:szCs w:val="26"/>
        </w:rPr>
        <w:t xml:space="preserve">В този смисъл е трайната съдебна практика видно от Определение № 13181/07.12.2015г. по АД № 13503/2015г. на ВАС, Определение по АД № 12505/2007г. на ВАС, Определение по АД № 14555/2011г. на ВАС, определение по АД №14714/2011г. на ВАС и др. </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Предвид нормата</w:t>
      </w:r>
      <w:r>
        <w:rPr>
          <w:rFonts w:ascii="MS Sans Serif" w:hAnsi="MS Sans Serif"/>
          <w:color w:val="000000"/>
          <w:sz w:val="26"/>
          <w:szCs w:val="26"/>
        </w:rPr>
        <w:t xml:space="preserve"> на чл. 459, ал.1 от ИК, кандидата за кмет Г.И.И. безспорно разполага с активна процесуална легитимация да оспори изборните резултати от проведените през 2023г. избори за кмет на Община Хасково. Последните обаче са обявени, в настоящия случай, след проведе</w:t>
      </w:r>
      <w:r>
        <w:rPr>
          <w:rFonts w:ascii="MS Sans Serif" w:hAnsi="MS Sans Serif"/>
          <w:color w:val="000000"/>
          <w:sz w:val="26"/>
          <w:szCs w:val="26"/>
        </w:rPr>
        <w:t>н втори тур с Решение 335- МИ от 06.11.20223г., което макар и да не се прилага към изпратената по делото административна преписка е общодостъпно на сайта на ОИК Хасково /</w:t>
      </w:r>
      <w:r>
        <w:rPr>
          <w:rFonts w:ascii="MS Sans Serif" w:hAnsi="MS Sans Serif"/>
        </w:rPr>
        <w:t>https://oik2634.cik.bg/mi2023/decisions/335/2023-11-06</w:t>
      </w:r>
      <w:r>
        <w:rPr>
          <w:rFonts w:ascii="MS Sans Serif" w:hAnsi="MS Sans Serif"/>
          <w:color w:val="000000"/>
          <w:sz w:val="26"/>
          <w:szCs w:val="26"/>
        </w:rPr>
        <w:t>/. Именно това решение е окончат</w:t>
      </w:r>
      <w:r>
        <w:rPr>
          <w:rFonts w:ascii="MS Sans Serif" w:hAnsi="MS Sans Serif"/>
          <w:color w:val="000000"/>
          <w:sz w:val="26"/>
          <w:szCs w:val="26"/>
        </w:rPr>
        <w:t xml:space="preserve">елният административен акт, с който приключва процедурата по избор на кмет на Община Хасково. </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Предвид изложеното, настоящият състав на Административен съд Хасково намира, че оспореното в процесното съдебно производство Решение № 254 – МИ от 30.10.2023г. н</w:t>
      </w:r>
      <w:r>
        <w:rPr>
          <w:rFonts w:ascii="MS Sans Serif" w:hAnsi="MS Sans Serif"/>
          <w:color w:val="000000"/>
          <w:sz w:val="26"/>
          <w:szCs w:val="26"/>
        </w:rPr>
        <w:t xml:space="preserve">а Общинска избирателна комисия Хасково не е акт определящ изборен резултат по смисъла на </w:t>
      </w:r>
      <w:hyperlink r:id="rId13" w:history="1">
        <w:r>
          <w:rPr>
            <w:rStyle w:val="a3"/>
            <w:rFonts w:ascii="MS Sans Serif" w:hAnsi="MS Sans Serif"/>
            <w:color w:val="000000"/>
            <w:sz w:val="26"/>
            <w:szCs w:val="26"/>
            <w:u w:val="none"/>
            <w:bdr w:val="none" w:sz="0" w:space="0" w:color="auto" w:frame="1"/>
            <w:shd w:val="clear" w:color="auto" w:fill="FFFFFF"/>
          </w:rPr>
          <w:t>чл. 459, ал. 1 ИК</w:t>
        </w:r>
      </w:hyperlink>
      <w:r>
        <w:rPr>
          <w:rFonts w:ascii="MS Sans Serif" w:hAnsi="MS Sans Serif"/>
          <w:color w:val="000000"/>
          <w:sz w:val="26"/>
          <w:szCs w:val="26"/>
        </w:rPr>
        <w:t>, а е акт изготвен в хода на изборната процедура и като такъв не подлежи на с</w:t>
      </w:r>
      <w:r>
        <w:rPr>
          <w:rFonts w:ascii="MS Sans Serif" w:hAnsi="MS Sans Serif"/>
          <w:color w:val="000000"/>
          <w:sz w:val="26"/>
          <w:szCs w:val="26"/>
        </w:rPr>
        <w:t xml:space="preserve">амостоятелен контрол. </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 xml:space="preserve">По тези съображения, съдът счита подадената жалба за процесуално недопустима на основание </w:t>
      </w:r>
      <w:hyperlink r:id="rId14" w:history="1">
        <w:r>
          <w:rPr>
            <w:rStyle w:val="a3"/>
            <w:rFonts w:ascii="MS Sans Serif" w:hAnsi="MS Sans Serif"/>
            <w:color w:val="000000"/>
            <w:sz w:val="26"/>
            <w:szCs w:val="26"/>
            <w:u w:val="none"/>
          </w:rPr>
          <w:t>чл. 159, т. 1 от АПК</w:t>
        </w:r>
      </w:hyperlink>
      <w:r>
        <w:rPr>
          <w:rFonts w:ascii="MS Sans Serif" w:hAnsi="MS Sans Serif"/>
          <w:color w:val="000000"/>
          <w:sz w:val="26"/>
          <w:szCs w:val="26"/>
        </w:rPr>
        <w:t>, поради което следва да я остави без разглеждане, а производството по делото следва да бъде прекратено.</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Предвид горното, Съдът</w:t>
      </w:r>
    </w:p>
    <w:p w:rsidR="00000000" w:rsidRDefault="00B81C18">
      <w:pPr>
        <w:pStyle w:val="a5"/>
        <w:ind w:firstLine="990"/>
        <w:jc w:val="center"/>
        <w:divId w:val="567494120"/>
        <w:rPr>
          <w:rFonts w:ascii="MS Sans Serif" w:hAnsi="MS Sans Serif"/>
        </w:rPr>
      </w:pPr>
      <w:r>
        <w:rPr>
          <w:rFonts w:ascii="MS Sans Serif" w:hAnsi="MS Sans Serif"/>
          <w:b/>
          <w:bCs/>
          <w:color w:val="000000"/>
          <w:sz w:val="32"/>
          <w:szCs w:val="32"/>
        </w:rPr>
        <w:t>О П Р Е Д Е Л И:</w:t>
      </w:r>
    </w:p>
    <w:p w:rsidR="00000000" w:rsidRDefault="00B81C18">
      <w:pPr>
        <w:pStyle w:val="a5"/>
        <w:ind w:firstLine="990"/>
        <w:jc w:val="both"/>
        <w:divId w:val="567494120"/>
        <w:rPr>
          <w:rFonts w:ascii="MS Sans Serif" w:hAnsi="MS Sans Serif"/>
        </w:rPr>
      </w:pPr>
      <w:r>
        <w:rPr>
          <w:rFonts w:ascii="MS Sans Serif" w:hAnsi="MS Sans Serif"/>
          <w:b/>
          <w:bCs/>
          <w:color w:val="000000"/>
          <w:sz w:val="26"/>
          <w:szCs w:val="26"/>
        </w:rPr>
        <w:t>ОСТАВЯ БЕЗ РАЗГЛЕЖДАНЕ</w:t>
      </w:r>
      <w:r>
        <w:rPr>
          <w:rFonts w:ascii="MS Sans Serif" w:hAnsi="MS Sans Serif"/>
          <w:color w:val="000000"/>
          <w:sz w:val="26"/>
          <w:szCs w:val="26"/>
        </w:rPr>
        <w:t xml:space="preserve"> жалбата на Г.И.И. *** от ПП "БЪЛГАРСКИ ГЛАСЪ" в изборите за общински </w:t>
      </w:r>
      <w:r>
        <w:rPr>
          <w:rFonts w:ascii="MS Sans Serif" w:hAnsi="MS Sans Serif"/>
          <w:color w:val="000000"/>
          <w:sz w:val="26"/>
          <w:szCs w:val="26"/>
        </w:rPr>
        <w:t xml:space="preserve">съветници и кметове от 29.10.2023г. срещу Решение № 254 – МИ от 30.10.2023г. на Общинска избирателна комисия Хасково, като недопустима и </w:t>
      </w:r>
    </w:p>
    <w:p w:rsidR="00000000" w:rsidRDefault="00B81C18">
      <w:pPr>
        <w:pStyle w:val="a5"/>
        <w:ind w:firstLine="990"/>
        <w:jc w:val="both"/>
        <w:divId w:val="567494120"/>
        <w:rPr>
          <w:rFonts w:ascii="MS Sans Serif" w:hAnsi="MS Sans Serif"/>
        </w:rPr>
      </w:pPr>
      <w:r>
        <w:rPr>
          <w:rFonts w:ascii="MS Sans Serif" w:hAnsi="MS Sans Serif"/>
          <w:b/>
          <w:bCs/>
          <w:color w:val="000000"/>
          <w:sz w:val="26"/>
          <w:szCs w:val="26"/>
        </w:rPr>
        <w:t xml:space="preserve">ПРЕКРАТЯВА </w:t>
      </w:r>
      <w:r>
        <w:rPr>
          <w:rFonts w:ascii="MS Sans Serif" w:hAnsi="MS Sans Serif"/>
          <w:color w:val="000000"/>
          <w:sz w:val="26"/>
          <w:szCs w:val="26"/>
        </w:rPr>
        <w:t>производството по адм. д. № 1222/2023г. по описа на Административен съд – Хасково.</w:t>
      </w:r>
    </w:p>
    <w:p w:rsidR="00000000" w:rsidRDefault="00B81C18">
      <w:pPr>
        <w:pStyle w:val="a5"/>
        <w:ind w:firstLine="990"/>
        <w:jc w:val="both"/>
        <w:divId w:val="567494120"/>
        <w:rPr>
          <w:rFonts w:ascii="MS Sans Serif" w:hAnsi="MS Sans Serif"/>
        </w:rPr>
      </w:pPr>
      <w:r>
        <w:rPr>
          <w:rFonts w:ascii="MS Sans Serif" w:hAnsi="MS Sans Serif"/>
          <w:color w:val="000000"/>
          <w:sz w:val="26"/>
          <w:szCs w:val="26"/>
        </w:rPr>
        <w:t>Определението подлежи на</w:t>
      </w:r>
      <w:r>
        <w:rPr>
          <w:rFonts w:ascii="MS Sans Serif" w:hAnsi="MS Sans Serif"/>
          <w:color w:val="000000"/>
          <w:sz w:val="26"/>
          <w:szCs w:val="26"/>
        </w:rPr>
        <w:t xml:space="preserve"> обжалване, с частна жалба в 7 – дневен срок от съобщението му на страните пред Върховен административен съд.</w:t>
      </w:r>
    </w:p>
    <w:tbl>
      <w:tblPr>
        <w:tblW w:w="5000" w:type="pct"/>
        <w:tblCellSpacing w:w="15" w:type="dxa"/>
        <w:tblLook w:val="04A0" w:firstRow="1" w:lastRow="0" w:firstColumn="1" w:lastColumn="0" w:noHBand="0" w:noVBand="1"/>
      </w:tblPr>
      <w:tblGrid>
        <w:gridCol w:w="4492"/>
        <w:gridCol w:w="2733"/>
        <w:gridCol w:w="1937"/>
      </w:tblGrid>
      <w:tr w:rsidR="00000000">
        <w:trPr>
          <w:divId w:val="1494760145"/>
          <w:tblCellSpacing w:w="15" w:type="dxa"/>
        </w:trPr>
        <w:tc>
          <w:tcPr>
            <w:tcW w:w="7260" w:type="dxa"/>
            <w:tcMar>
              <w:top w:w="15" w:type="dxa"/>
              <w:left w:w="15" w:type="dxa"/>
              <w:bottom w:w="15" w:type="dxa"/>
              <w:right w:w="15" w:type="dxa"/>
            </w:tcMar>
            <w:hideMark/>
          </w:tcPr>
          <w:p w:rsidR="00000000" w:rsidRDefault="00B81C18">
            <w:pPr>
              <w:rPr>
                <w:rFonts w:eastAsia="Times New Roman"/>
                <w:sz w:val="20"/>
                <w:szCs w:val="20"/>
              </w:rPr>
            </w:pPr>
          </w:p>
        </w:tc>
        <w:tc>
          <w:tcPr>
            <w:tcW w:w="3795" w:type="dxa"/>
            <w:tcMar>
              <w:top w:w="15" w:type="dxa"/>
              <w:left w:w="15" w:type="dxa"/>
              <w:bottom w:w="15" w:type="dxa"/>
              <w:right w:w="15" w:type="dxa"/>
            </w:tcMar>
            <w:hideMark/>
          </w:tcPr>
          <w:p w:rsidR="00000000" w:rsidRDefault="00B81C18">
            <w:pPr>
              <w:rPr>
                <w:rFonts w:eastAsia="Times New Roman"/>
                <w:sz w:val="20"/>
                <w:szCs w:val="20"/>
              </w:rPr>
            </w:pPr>
          </w:p>
        </w:tc>
        <w:tc>
          <w:tcPr>
            <w:tcW w:w="3075" w:type="dxa"/>
            <w:tcMar>
              <w:top w:w="15" w:type="dxa"/>
              <w:left w:w="15" w:type="dxa"/>
              <w:bottom w:w="15" w:type="dxa"/>
              <w:right w:w="15" w:type="dxa"/>
            </w:tcMar>
            <w:vAlign w:val="center"/>
            <w:hideMark/>
          </w:tcPr>
          <w:p w:rsidR="00000000" w:rsidRDefault="00B81C18">
            <w:pPr>
              <w:rPr>
                <w:rFonts w:eastAsia="Times New Roman"/>
                <w:sz w:val="20"/>
                <w:szCs w:val="20"/>
              </w:rPr>
            </w:pPr>
          </w:p>
        </w:tc>
      </w:tr>
      <w:tr w:rsidR="00000000">
        <w:trPr>
          <w:divId w:val="1494760145"/>
          <w:tblCellSpacing w:w="15" w:type="dxa"/>
        </w:trPr>
        <w:tc>
          <w:tcPr>
            <w:tcW w:w="7260" w:type="dxa"/>
            <w:tcMar>
              <w:top w:w="15" w:type="dxa"/>
              <w:left w:w="15" w:type="dxa"/>
              <w:bottom w:w="15" w:type="dxa"/>
              <w:right w:w="15" w:type="dxa"/>
            </w:tcMar>
            <w:hideMark/>
          </w:tcPr>
          <w:p w:rsidR="00000000" w:rsidRDefault="00B81C18">
            <w:pPr>
              <w:rPr>
                <w:rFonts w:eastAsia="Times New Roman"/>
                <w:sz w:val="20"/>
                <w:szCs w:val="20"/>
              </w:rPr>
            </w:pPr>
          </w:p>
        </w:tc>
        <w:tc>
          <w:tcPr>
            <w:tcW w:w="3795" w:type="dxa"/>
            <w:tcMar>
              <w:top w:w="15" w:type="dxa"/>
              <w:left w:w="15" w:type="dxa"/>
              <w:bottom w:w="15" w:type="dxa"/>
              <w:right w:w="15" w:type="dxa"/>
            </w:tcMar>
            <w:hideMark/>
          </w:tcPr>
          <w:p w:rsidR="00000000" w:rsidRDefault="00B81C18">
            <w:pPr>
              <w:jc w:val="right"/>
              <w:rPr>
                <w:rFonts w:eastAsia="Times New Roman"/>
              </w:rPr>
            </w:pPr>
            <w:r>
              <w:rPr>
                <w:rStyle w:val="printdefinition"/>
                <w:rFonts w:ascii="MS Sans Serif" w:eastAsia="Times New Roman" w:hAnsi="MS Sans Serif"/>
                <w:b/>
                <w:bCs/>
                <w:caps/>
                <w:color w:val="000000"/>
              </w:rPr>
              <w:t>Съди</w:t>
            </w:r>
            <w:r>
              <w:rPr>
                <w:rStyle w:val="printdefinition"/>
                <w:rFonts w:ascii="MS Sans Serif" w:eastAsia="Times New Roman" w:hAnsi="MS Sans Serif"/>
                <w:b/>
                <w:bCs/>
                <w:caps/>
                <w:color w:val="000000"/>
              </w:rPr>
              <w:t>я</w:t>
            </w:r>
            <w:r>
              <w:rPr>
                <w:rStyle w:val="a6"/>
                <w:rFonts w:ascii="MS Sans Serif" w:eastAsia="Times New Roman" w:hAnsi="MS Sans Serif"/>
                <w:caps/>
                <w:color w:val="000000"/>
              </w:rPr>
              <w:t xml:space="preserve">: </w:t>
            </w:r>
          </w:p>
        </w:tc>
        <w:tc>
          <w:tcPr>
            <w:tcW w:w="3075" w:type="dxa"/>
            <w:tcMar>
              <w:top w:w="15" w:type="dxa"/>
              <w:left w:w="15" w:type="dxa"/>
              <w:bottom w:w="15" w:type="dxa"/>
              <w:right w:w="15" w:type="dxa"/>
            </w:tcMar>
            <w:vAlign w:val="center"/>
            <w:hideMark/>
          </w:tcPr>
          <w:p w:rsidR="00000000" w:rsidRDefault="00B81C18">
            <w:pPr>
              <w:rPr>
                <w:rFonts w:eastAsia="Times New Roman"/>
                <w:sz w:val="20"/>
                <w:szCs w:val="20"/>
              </w:rPr>
            </w:pPr>
          </w:p>
        </w:tc>
      </w:tr>
      <w:tr w:rsidR="00000000">
        <w:trPr>
          <w:divId w:val="1494760145"/>
          <w:tblCellSpacing w:w="15" w:type="dxa"/>
        </w:trPr>
        <w:tc>
          <w:tcPr>
            <w:tcW w:w="7260" w:type="dxa"/>
            <w:tcMar>
              <w:top w:w="15" w:type="dxa"/>
              <w:left w:w="15" w:type="dxa"/>
              <w:bottom w:w="15" w:type="dxa"/>
              <w:right w:w="15" w:type="dxa"/>
            </w:tcMar>
            <w:hideMark/>
          </w:tcPr>
          <w:p w:rsidR="00000000" w:rsidRDefault="00B81C18">
            <w:pPr>
              <w:rPr>
                <w:rFonts w:eastAsia="Times New Roman"/>
                <w:sz w:val="20"/>
                <w:szCs w:val="20"/>
              </w:rPr>
            </w:pPr>
          </w:p>
        </w:tc>
        <w:tc>
          <w:tcPr>
            <w:tcW w:w="3795" w:type="dxa"/>
            <w:tcMar>
              <w:top w:w="300" w:type="dxa"/>
              <w:left w:w="15" w:type="dxa"/>
              <w:bottom w:w="15" w:type="dxa"/>
              <w:right w:w="15" w:type="dxa"/>
            </w:tcMar>
            <w:hideMark/>
          </w:tcPr>
          <w:p w:rsidR="00000000" w:rsidRDefault="00B81C18">
            <w:pPr>
              <w:rPr>
                <w:rFonts w:eastAsia="Times New Roman"/>
                <w:sz w:val="20"/>
                <w:szCs w:val="20"/>
              </w:rPr>
            </w:pPr>
          </w:p>
        </w:tc>
        <w:tc>
          <w:tcPr>
            <w:tcW w:w="3075" w:type="dxa"/>
            <w:tcMar>
              <w:top w:w="300" w:type="dxa"/>
              <w:left w:w="15" w:type="dxa"/>
              <w:bottom w:w="15" w:type="dxa"/>
              <w:right w:w="15" w:type="dxa"/>
            </w:tcMar>
            <w:vAlign w:val="center"/>
            <w:hideMark/>
          </w:tcPr>
          <w:p w:rsidR="00000000" w:rsidRDefault="00B81C18">
            <w:pPr>
              <w:rPr>
                <w:rFonts w:eastAsia="Times New Roman"/>
                <w:sz w:val="20"/>
                <w:szCs w:val="20"/>
              </w:rPr>
            </w:pPr>
          </w:p>
        </w:tc>
      </w:tr>
    </w:tbl>
    <w:p w:rsidR="00000000" w:rsidRDefault="00B81C18">
      <w:pPr>
        <w:divId w:val="1494760145"/>
        <w:rPr>
          <w:rFonts w:eastAsia="Times New Roman"/>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4"/>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81C18"/>
    <w:rsid w:val="00B81C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body-text">
    <w:name w:val="body-text"/>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customStyle="1" w:styleId="body-text">
    <w:name w:val="body-text"/>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494120">
      <w:marLeft w:val="0"/>
      <w:marRight w:val="0"/>
      <w:marTop w:val="0"/>
      <w:marBottom w:val="4"/>
      <w:divBdr>
        <w:top w:val="none" w:sz="0" w:space="0" w:color="auto"/>
        <w:left w:val="none" w:sz="0" w:space="0" w:color="auto"/>
        <w:bottom w:val="none" w:sz="0" w:space="0" w:color="auto"/>
        <w:right w:val="none" w:sz="0" w:space="0" w:color="auto"/>
      </w:divBdr>
    </w:div>
    <w:div w:id="1494760145">
      <w:marLeft w:val="0"/>
      <w:marRight w:val="0"/>
      <w:marTop w:val="450"/>
      <w:marBottom w:val="3000"/>
      <w:divBdr>
        <w:top w:val="none" w:sz="0" w:space="0" w:color="auto"/>
        <w:left w:val="none" w:sz="0" w:space="0" w:color="auto"/>
        <w:bottom w:val="none" w:sz="0" w:space="0" w:color="auto"/>
        <w:right w:val="none" w:sz="0" w:space="0" w:color="auto"/>
      </w:divBdr>
    </w:div>
  </w:divs>
  <w:encoding w:val="unicode"/>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54&amp;ToPar=Art452_Al4&amp;Type=201/" TargetMode="External"/><Relationship Id="rId13" Type="http://schemas.openxmlformats.org/officeDocument/2006/relationships/hyperlink" Target="apis://Base=NARH&amp;DocCode=2054&amp;ToPar=Art459_Al1&amp;Type=201/" TargetMode="External"/><Relationship Id="rId3" Type="http://schemas.openxmlformats.org/officeDocument/2006/relationships/settings" Target="settings.xml"/><Relationship Id="rId7" Type="http://schemas.openxmlformats.org/officeDocument/2006/relationships/hyperlink" Target="apis://Base=NARH&amp;DocCode=2054&amp;ToPar=Art452_Al3&amp;Type=201/" TargetMode="External"/><Relationship Id="rId12" Type="http://schemas.openxmlformats.org/officeDocument/2006/relationships/hyperlink" Target="apis://Base=NARH&amp;DocCode=2054&amp;ToPar=Art459_Al1&amp;Type=20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apis://Base=NARH&amp;DocCode=2054&amp;ToPar=Art452&amp;Type=201/" TargetMode="External"/><Relationship Id="rId11" Type="http://schemas.openxmlformats.org/officeDocument/2006/relationships/hyperlink" Target="apis://Base=NARH&amp;DocCode=2024&amp;ToPar=Art21_Al5&amp;Type=201/" TargetMode="External"/><Relationship Id="rId5" Type="http://schemas.openxmlformats.org/officeDocument/2006/relationships/hyperlink" Target="apis://Base=NARH&amp;DocCode=2054&amp;ToPar=Art459_Al1&amp;Type=201/" TargetMode="External"/><Relationship Id="rId15" Type="http://schemas.openxmlformats.org/officeDocument/2006/relationships/fontTable" Target="fontTable.xml"/><Relationship Id="rId10" Type="http://schemas.openxmlformats.org/officeDocument/2006/relationships/hyperlink" Target="apis://Base=NARH&amp;DocCode=2054&amp;ToPar=Art87_Al1_Pt29&amp;Type=201/" TargetMode="External"/><Relationship Id="rId4" Type="http://schemas.openxmlformats.org/officeDocument/2006/relationships/webSettings" Target="webSettings.xml"/><Relationship Id="rId9" Type="http://schemas.openxmlformats.org/officeDocument/2006/relationships/hyperlink" Target="apis://Base=NARH&amp;DocCode=2054&amp;ToPar=Art452_Al6_Sent1&amp;Type=201/" TargetMode="External"/><Relationship Id="rId14" Type="http://schemas.openxmlformats.org/officeDocument/2006/relationships/hyperlink" Target="apis://Base=NARH&amp;DocCode=2024&amp;ToPar=Art159_Pt1&amp;Type=2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7873</Characters>
  <Application>Microsoft Office Word</Application>
  <DocSecurity>4</DocSecurity>
  <Lines>65</Lines>
  <Paragraphs>18</Paragraphs>
  <ScaleCrop>false</ScaleCrop>
  <HeadingPairs>
    <vt:vector size="2" baseType="variant">
      <vt:variant>
        <vt:lpstr>Заглавие</vt:lpstr>
      </vt:variant>
      <vt:variant>
        <vt:i4>1</vt:i4>
      </vt:variant>
    </vt:vector>
  </HeadingPairs>
  <TitlesOfParts>
    <vt:vector size="1" baseType="lpstr">
      <vt:lpstr>Определение по Административно дело 1222/2023г.</vt:lpstr>
    </vt:vector>
  </TitlesOfParts>
  <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по Административно дело 1222/2023г.</dc:title>
  <dc:creator>Sonya Dimitrova</dc:creator>
  <cp:lastModifiedBy>Maria Bjalkova</cp:lastModifiedBy>
  <cp:revision>2</cp:revision>
  <dcterms:created xsi:type="dcterms:W3CDTF">2024-09-17T12:12:00Z</dcterms:created>
  <dcterms:modified xsi:type="dcterms:W3CDTF">2024-09-17T12:12:00Z</dcterms:modified>
</cp:coreProperties>
</file>